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96475"/>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color w:val="000000"/>
          <w:sz w:val="72"/>
          <w:szCs w:val="72"/>
        </w:rPr>
        <w:t>广元市</w:t>
      </w:r>
      <w:bookmarkEnd w:id="0"/>
      <w:bookmarkStart w:id="11" w:name="_Toc15306268"/>
      <w:r>
        <w:rPr>
          <w:rFonts w:hint="eastAsia" w:ascii="方正小标宋简体" w:hAnsi="宋体" w:eastAsia="方正小标宋简体"/>
          <w:color w:val="000000"/>
          <w:sz w:val="72"/>
          <w:szCs w:val="72"/>
        </w:rPr>
        <w:t>机关事务服务中心部门决算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tabs>
          <w:tab w:val="left" w:pos="1695"/>
        </w:tabs>
        <w:rPr>
          <w:rFonts w:ascii="黑体" w:hAnsi="黑体" w:eastAsia="黑体"/>
          <w:color w:val="000000"/>
          <w:sz w:val="48"/>
          <w:szCs w:val="48"/>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425" w:num="1"/>
          <w:titlePg/>
          <w:docGrid w:type="lines" w:linePitch="312" w:charSpace="0"/>
        </w:sectPr>
      </w:pPr>
    </w:p>
    <w:p>
      <w:pPr>
        <w:tabs>
          <w:tab w:val="left" w:pos="1695"/>
        </w:tabs>
        <w:jc w:val="center"/>
        <w:rPr>
          <w:rFonts w:ascii="黑体" w:hAnsi="黑体" w:eastAsia="黑体"/>
          <w:color w:val="000000"/>
          <w:sz w:val="48"/>
          <w:szCs w:val="48"/>
        </w:rPr>
        <w:sectPr>
          <w:pgSz w:w="11906" w:h="16838"/>
          <w:pgMar w:top="1440" w:right="1800" w:bottom="1440" w:left="1800" w:header="851" w:footer="992" w:gutter="0"/>
          <w:pgNumType w:start="1"/>
          <w:cols w:space="425" w:num="1"/>
          <w:titlePg/>
          <w:docGrid w:type="lines" w:linePitch="312" w:charSpace="0"/>
        </w:sectPr>
      </w:pPr>
    </w:p>
    <w:p>
      <w:pPr>
        <w:tabs>
          <w:tab w:val="left" w:pos="1695"/>
        </w:tabs>
        <w:jc w:val="center"/>
        <w:rPr>
          <w:rFonts w:ascii="黑体" w:hAnsi="黑体" w:eastAsia="黑体"/>
          <w:color w:val="000000"/>
          <w:sz w:val="48"/>
          <w:szCs w:val="48"/>
        </w:rPr>
      </w:pPr>
    </w:p>
    <w:p>
      <w:pPr>
        <w:tabs>
          <w:tab w:val="left" w:pos="1695"/>
        </w:tabs>
        <w:jc w:val="center"/>
        <w:rPr>
          <w:rFonts w:ascii="黑体" w:hAnsi="黑体" w:eastAsia="黑体"/>
          <w:color w:val="000000"/>
          <w:sz w:val="48"/>
          <w:szCs w:val="48"/>
        </w:rPr>
      </w:pPr>
      <w:r>
        <w:rPr>
          <w:rFonts w:hint="eastAsia" w:ascii="黑体" w:hAnsi="黑体" w:eastAsia="黑体"/>
          <w:color w:val="000000"/>
          <w:sz w:val="48"/>
          <w:szCs w:val="48"/>
        </w:rPr>
        <w:t>目   录</w:t>
      </w:r>
    </w:p>
    <w:p>
      <w:pPr>
        <w:spacing w:line="600" w:lineRule="exact"/>
        <w:rPr>
          <w:rFonts w:ascii="楷体_GB2312" w:eastAsia="楷体_GB2312"/>
          <w:sz w:val="32"/>
          <w:szCs w:val="32"/>
        </w:rPr>
      </w:pPr>
    </w:p>
    <w:p>
      <w:pPr>
        <w:pStyle w:val="10"/>
        <w:adjustRightInd w:val="0"/>
        <w:snapToGrid w:val="0"/>
        <w:spacing w:before="0" w:line="600" w:lineRule="exact"/>
        <w:jc w:val="distribute"/>
        <w:rPr>
          <w:rFonts w:ascii="楷体_GB2312" w:hAnsi="黑体" w:eastAsia="楷体_GB2312" w:cstheme="minorBidi"/>
          <w:sz w:val="32"/>
          <w:szCs w:val="32"/>
        </w:rPr>
      </w:pPr>
      <w:r>
        <w:rPr>
          <w:rFonts w:hint="eastAsia" w:ascii="楷体_GB2312" w:hAnsi="黑体" w:eastAsia="楷体_GB2312"/>
          <w:sz w:val="32"/>
          <w:szCs w:val="32"/>
        </w:rPr>
        <w:t>第一部分 部门概况…………………………………………01</w:t>
      </w:r>
    </w:p>
    <w:p>
      <w:pPr>
        <w:pStyle w:val="11"/>
        <w:adjustRightInd w:val="0"/>
        <w:snapToGrid w:val="0"/>
        <w:spacing w:line="600" w:lineRule="exact"/>
        <w:ind w:left="0" w:leftChars="0"/>
        <w:jc w:val="distribute"/>
        <w:rPr>
          <w:rFonts w:ascii="楷体_GB2312" w:hAnsi="黑体" w:eastAsia="楷体_GB2312"/>
          <w:sz w:val="32"/>
          <w:szCs w:val="32"/>
        </w:rPr>
      </w:pPr>
      <w:r>
        <w:rPr>
          <w:rFonts w:hint="eastAsia" w:ascii="楷体_GB2312" w:hAnsi="黑体" w:eastAsia="楷体_GB2312"/>
          <w:sz w:val="32"/>
          <w:szCs w:val="32"/>
        </w:rPr>
        <w:t>一、基本职能及主要工作……………………………………01</w:t>
      </w:r>
    </w:p>
    <w:p>
      <w:pPr>
        <w:pStyle w:val="11"/>
        <w:adjustRightInd w:val="0"/>
        <w:snapToGrid w:val="0"/>
        <w:spacing w:line="600" w:lineRule="exact"/>
        <w:ind w:left="0" w:leftChars="0"/>
        <w:jc w:val="distribute"/>
        <w:rPr>
          <w:rFonts w:ascii="楷体_GB2312" w:hAnsi="黑体" w:eastAsia="楷体_GB2312" w:cstheme="minorBidi"/>
          <w:sz w:val="32"/>
          <w:szCs w:val="32"/>
        </w:rPr>
      </w:pPr>
      <w:r>
        <w:rPr>
          <w:rFonts w:hint="eastAsia" w:ascii="楷体_GB2312" w:hAnsi="黑体" w:eastAsia="楷体_GB2312"/>
          <w:sz w:val="32"/>
          <w:szCs w:val="32"/>
        </w:rPr>
        <w:t>二、机构设置…………………………………………………07</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第二部分 2019年度部门决算情况说明……………………08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一、收入支出决算总体情况说明……………………………08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二、收入决算情况说明………………………………………08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三、支出决算情况说明………………………………………08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四、财政拨款收入支出决算总体情况说明…………………08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五、一般公共预算财政拨款支出决算情况说明……………08</w:t>
      </w:r>
    </w:p>
    <w:p>
      <w:pPr>
        <w:pStyle w:val="11"/>
        <w:adjustRightInd w:val="0"/>
        <w:snapToGrid w:val="0"/>
        <w:spacing w:line="600" w:lineRule="exact"/>
        <w:ind w:left="0" w:leftChars="0"/>
        <w:jc w:val="distribute"/>
        <w:rPr>
          <w:rFonts w:ascii="楷体_GB2312" w:hAnsi="黑体" w:eastAsia="楷体_GB2312"/>
          <w:sz w:val="32"/>
          <w:szCs w:val="32"/>
        </w:rPr>
      </w:pPr>
      <w:r>
        <w:rPr>
          <w:rFonts w:hint="eastAsia" w:ascii="楷体_GB2312" w:hAnsi="黑体" w:eastAsia="楷体_GB2312"/>
          <w:sz w:val="32"/>
          <w:szCs w:val="32"/>
        </w:rPr>
        <w:t>六、一般公共预算财政拨款基本支出决算情况说明………10</w:t>
      </w:r>
    </w:p>
    <w:p>
      <w:pPr>
        <w:pStyle w:val="11"/>
        <w:adjustRightInd w:val="0"/>
        <w:snapToGrid w:val="0"/>
        <w:spacing w:line="600" w:lineRule="exact"/>
        <w:ind w:left="0" w:leftChars="0"/>
        <w:jc w:val="distribute"/>
        <w:rPr>
          <w:rFonts w:ascii="楷体_GB2312" w:hAnsi="黑体" w:eastAsia="楷体_GB2312"/>
          <w:sz w:val="32"/>
          <w:szCs w:val="32"/>
        </w:rPr>
      </w:pPr>
      <w:r>
        <w:rPr>
          <w:rFonts w:hint="eastAsia" w:ascii="楷体_GB2312" w:hAnsi="黑体" w:eastAsia="楷体_GB2312"/>
          <w:sz w:val="32"/>
          <w:szCs w:val="32"/>
        </w:rPr>
        <w:t>七、“三公”经费财政拨款支出决算情况说明……………10</w:t>
      </w:r>
    </w:p>
    <w:p>
      <w:pPr>
        <w:pStyle w:val="11"/>
        <w:adjustRightInd w:val="0"/>
        <w:snapToGrid w:val="0"/>
        <w:spacing w:line="600" w:lineRule="exact"/>
        <w:ind w:left="0" w:leftChars="0"/>
        <w:jc w:val="distribute"/>
        <w:rPr>
          <w:rFonts w:ascii="楷体_GB2312" w:hAnsi="黑体" w:eastAsia="楷体_GB2312"/>
          <w:sz w:val="32"/>
          <w:szCs w:val="32"/>
        </w:rPr>
      </w:pPr>
      <w:r>
        <w:rPr>
          <w:rFonts w:hint="eastAsia" w:ascii="楷体_GB2312" w:hAnsi="黑体" w:eastAsia="楷体_GB2312"/>
          <w:sz w:val="32"/>
          <w:szCs w:val="32"/>
        </w:rPr>
        <w:t>八、政府性基金预算支出决算情况说明……………………12</w:t>
      </w:r>
    </w:p>
    <w:p>
      <w:pPr>
        <w:pStyle w:val="11"/>
        <w:adjustRightInd w:val="0"/>
        <w:snapToGrid w:val="0"/>
        <w:spacing w:line="600" w:lineRule="exact"/>
        <w:ind w:left="0" w:leftChars="0"/>
        <w:jc w:val="distribute"/>
        <w:rPr>
          <w:rFonts w:ascii="楷体_GB2312" w:hAnsi="黑体" w:eastAsia="楷体_GB2312"/>
          <w:sz w:val="32"/>
          <w:szCs w:val="32"/>
        </w:rPr>
      </w:pPr>
      <w:r>
        <w:rPr>
          <w:rFonts w:hint="eastAsia" w:ascii="楷体_GB2312" w:hAnsi="黑体" w:eastAsia="楷体_GB2312"/>
          <w:sz w:val="32"/>
          <w:szCs w:val="32"/>
        </w:rPr>
        <w:t>九、国有资本经营预算支出决算情况说明…………………12</w:t>
      </w:r>
    </w:p>
    <w:p>
      <w:pPr>
        <w:adjustRightInd w:val="0"/>
        <w:snapToGrid w:val="0"/>
        <w:spacing w:line="600" w:lineRule="exact"/>
        <w:jc w:val="distribute"/>
        <w:rPr>
          <w:rFonts w:ascii="楷体_GB2312" w:hAnsi="黑体" w:eastAsia="楷体_GB2312"/>
          <w:sz w:val="32"/>
          <w:szCs w:val="32"/>
        </w:rPr>
      </w:pPr>
      <w:r>
        <w:rPr>
          <w:rFonts w:hint="eastAsia" w:ascii="楷体_GB2312" w:hAnsi="黑体" w:eastAsia="楷体_GB2312"/>
          <w:sz w:val="32"/>
          <w:szCs w:val="32"/>
        </w:rPr>
        <w:t>十、其他重要事项的情况说明</w:t>
      </w:r>
      <w:r>
        <w:rPr>
          <w:rFonts w:hint="eastAsia" w:ascii="楷体_GB2312" w:hAnsi="黑体" w:eastAsia="楷体_GB2312"/>
          <w:sz w:val="32"/>
          <w:szCs w:val="32"/>
        </w:rPr>
        <w:tab/>
      </w:r>
      <w:r>
        <w:rPr>
          <w:rFonts w:hint="eastAsia" w:ascii="楷体_GB2312" w:hAnsi="黑体" w:eastAsia="楷体_GB2312"/>
          <w:sz w:val="32"/>
          <w:szCs w:val="32"/>
        </w:rPr>
        <w:t>……………………………12</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第三部分 名词解释…………………………………………18</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第四部分 附件………………………………………………20</w:t>
      </w:r>
    </w:p>
    <w:p>
      <w:pPr>
        <w:pStyle w:val="10"/>
        <w:adjustRightInd w:val="0"/>
        <w:snapToGrid w:val="0"/>
        <w:spacing w:before="0" w:line="600" w:lineRule="exact"/>
        <w:jc w:val="distribute"/>
        <w:rPr>
          <w:rFonts w:ascii="楷体_GB2312" w:hAnsi="黑体" w:eastAsia="楷体_GB2312"/>
          <w:sz w:val="32"/>
          <w:szCs w:val="32"/>
        </w:rPr>
      </w:pPr>
      <w:r>
        <w:rPr>
          <w:rFonts w:hint="eastAsia" w:ascii="楷体_GB2312" w:hAnsi="黑体" w:eastAsia="楷体_GB2312"/>
          <w:sz w:val="32"/>
          <w:szCs w:val="32"/>
        </w:rPr>
        <w:t>第五部分 附表………………………………………………23</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一、收入支出决算总表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二、收入决算表</w:t>
      </w:r>
    </w:p>
    <w:p>
      <w:pPr>
        <w:pStyle w:val="11"/>
        <w:adjustRightInd w:val="0"/>
        <w:snapToGrid w:val="0"/>
        <w:spacing w:line="600" w:lineRule="exact"/>
        <w:ind w:left="0" w:leftChars="0"/>
        <w:rPr>
          <w:rFonts w:ascii="楷体_GB2312" w:hAnsi="黑体" w:eastAsia="楷体_GB2312"/>
          <w:sz w:val="32"/>
          <w:szCs w:val="32"/>
        </w:rPr>
        <w:sectPr>
          <w:pgSz w:w="11906" w:h="16838"/>
          <w:pgMar w:top="1440" w:right="1800" w:bottom="1440" w:left="1800" w:header="851" w:footer="992" w:gutter="0"/>
          <w:pgNumType w:start="1"/>
          <w:cols w:space="425" w:num="1"/>
          <w:titlePg/>
          <w:docGrid w:type="lines" w:linePitch="312" w:charSpace="0"/>
        </w:sectPr>
      </w:pPr>
      <w:r>
        <w:rPr>
          <w:rFonts w:hint="eastAsia" w:ascii="楷体_GB2312" w:hAnsi="黑体" w:eastAsia="楷体_GB2312"/>
          <w:sz w:val="32"/>
          <w:szCs w:val="32"/>
        </w:rPr>
        <w:t>三、支出决算表</w:t>
      </w:r>
    </w:p>
    <w:p>
      <w:pPr>
        <w:pStyle w:val="11"/>
        <w:adjustRightInd w:val="0"/>
        <w:snapToGrid w:val="0"/>
        <w:spacing w:line="600" w:lineRule="exact"/>
        <w:ind w:left="0" w:leftChars="0"/>
        <w:rPr>
          <w:rFonts w:ascii="楷体_GB2312" w:hAnsi="黑体" w:eastAsia="楷体_GB2312"/>
          <w:sz w:val="32"/>
          <w:szCs w:val="32"/>
        </w:rPr>
      </w:pP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四、财政拨款收入支出决算总表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五、财政拨款支出决算明细表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六、一般公共预算财政拨款支出决算表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七、一般公共预算财政拨款支出决算明细表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八、一般公共预算财政拨款基本支出决算表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九、一般公共预算财政拨款项目支出决算表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十、一般公共预算财政拨款“三公”经费支出决算表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十一、政府性基金预算财政拨款收入支出决算表</w:t>
      </w:r>
    </w:p>
    <w:p>
      <w:pPr>
        <w:pStyle w:val="11"/>
        <w:adjustRightInd w:val="0"/>
        <w:snapToGrid w:val="0"/>
        <w:spacing w:line="600" w:lineRule="exact"/>
        <w:ind w:left="0" w:leftChars="0"/>
        <w:rPr>
          <w:rFonts w:ascii="楷体_GB2312" w:hAnsi="黑体" w:eastAsia="楷体_GB2312"/>
          <w:sz w:val="32"/>
          <w:szCs w:val="32"/>
        </w:rPr>
      </w:pPr>
      <w:r>
        <w:rPr>
          <w:rFonts w:hint="eastAsia" w:ascii="楷体_GB2312" w:hAnsi="黑体" w:eastAsia="楷体_GB2312"/>
          <w:sz w:val="32"/>
          <w:szCs w:val="32"/>
        </w:rPr>
        <w:t>十二、政府性基金预算财政拨款“三公”经费支出决算表</w:t>
      </w:r>
    </w:p>
    <w:p>
      <w:pPr>
        <w:pStyle w:val="11"/>
        <w:adjustRightInd w:val="0"/>
        <w:snapToGrid w:val="0"/>
        <w:spacing w:line="600" w:lineRule="exact"/>
        <w:ind w:left="0" w:leftChars="0"/>
        <w:rPr>
          <w:rFonts w:ascii="楷体_GB2312" w:hAnsi="黑体" w:eastAsia="楷体_GB2312"/>
          <w:sz w:val="32"/>
          <w:szCs w:val="32"/>
        </w:rPr>
        <w:sectPr>
          <w:pgSz w:w="11906" w:h="16838"/>
          <w:pgMar w:top="1440" w:right="1800" w:bottom="1440" w:left="1800" w:header="851" w:footer="992" w:gutter="0"/>
          <w:pgNumType w:start="1"/>
          <w:cols w:space="425" w:num="1"/>
          <w:titlePg/>
          <w:docGrid w:type="lines" w:linePitch="312" w:charSpace="0"/>
        </w:sectPr>
      </w:pPr>
      <w:r>
        <w:rPr>
          <w:rFonts w:hint="eastAsia" w:ascii="楷体_GB2312" w:hAnsi="黑体" w:eastAsia="楷体_GB2312"/>
          <w:sz w:val="32"/>
          <w:szCs w:val="32"/>
        </w:rPr>
        <w:t>十三、国有资本经营预算支出决算表</w:t>
      </w:r>
    </w:p>
    <w:p>
      <w:pPr>
        <w:pStyle w:val="2"/>
        <w:spacing w:line="560" w:lineRule="exact"/>
        <w:jc w:val="center"/>
        <w:rPr>
          <w:rStyle w:val="24"/>
          <w:rFonts w:ascii="黑体" w:hAnsi="黑体" w:eastAsia="黑体"/>
          <w:b/>
          <w:bCs w:val="0"/>
        </w:rPr>
      </w:pPr>
      <w:bookmarkStart w:id="12" w:name="_Toc15377196"/>
      <w:bookmarkStart w:id="13" w:name="_Toc15396599"/>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spacing w:line="560" w:lineRule="exact"/>
        <w:jc w:val="left"/>
        <w:rPr>
          <w:rFonts w:ascii="黑体" w:eastAsia="黑体"/>
          <w:color w:val="000000"/>
          <w:sz w:val="32"/>
          <w:szCs w:val="32"/>
        </w:rPr>
      </w:pPr>
    </w:p>
    <w:p>
      <w:pPr>
        <w:pStyle w:val="3"/>
        <w:spacing w:line="560" w:lineRule="exact"/>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560" w:lineRule="exact"/>
        <w:ind w:firstLine="672" w:firstLineChars="210"/>
        <w:outlineLvl w:val="2"/>
        <w:rPr>
          <w:rFonts w:ascii="楷体" w:hAnsi="楷体" w:eastAsia="楷体"/>
          <w:bCs/>
          <w:color w:val="000000"/>
          <w:sz w:val="32"/>
          <w:szCs w:val="32"/>
        </w:rPr>
      </w:pPr>
      <w:bookmarkStart w:id="16" w:name="_Toc15378445"/>
      <w:bookmarkStart w:id="17" w:name="_Toc15377198"/>
      <w:r>
        <w:rPr>
          <w:rFonts w:hint="eastAsia" w:ascii="楷体" w:hAnsi="楷体" w:eastAsia="楷体"/>
          <w:bCs/>
          <w:color w:val="000000"/>
          <w:sz w:val="32"/>
          <w:szCs w:val="32"/>
        </w:rPr>
        <w:t>（一）主要职能。</w:t>
      </w:r>
      <w:bookmarkEnd w:id="16"/>
      <w:bookmarkEnd w:id="17"/>
      <w:bookmarkStart w:id="18" w:name="_Toc15377199"/>
      <w:bookmarkStart w:id="19" w:name="_Toc15378446"/>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1.贯彻执行国家、省、市有关机关事务工作的方针政策；拟定市直机关事业单位机关事务规划、体制改革政策、制度办法等，并参与实施；负责市直机关事业单位机关事务的有关服务和保障工作。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2.负责机关事务标准化、信息化建设和集约化、精细化管理等有关工作；协助有关部门组织开展机关运行成本统计、分析和评价等工作；承担机关事务培训有关工作。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3.负责市级机关公物仓信息管理平台建设和运维工作；承担市直机关事业单位非经营性国有资产产权界定、清查登记、资产处置、调剂配备等有关工作。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承担市直机关事业单位办公用房建设和维修有关事项；协助有关部门统一规划、统一权属、统一配置、统一处置市直机关事业单位办公用房；负责拟定市直机关事业单位房屋修缮计划；负责市直机关事业单位房地产信息管理平台建设、运维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5.承担市级公务用车管理涉及的事务性工作。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6.承担全市公共机构能耗统计、监测工作；协助有关部门统筹推进市直机关事业单位公共机构生活垃圾强制分类工作。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7.参与市直机关事业单位住房制度改革有关工作；承担市交流干部周转房和市青年干部公寓的管理、维修、维护等工作。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8.负责市级机关事业单位集中办公区有关后勤服务工作；负责县区机关事务服务的业务指导工作。</w:t>
      </w:r>
    </w:p>
    <w:p>
      <w:pPr>
        <w:pStyle w:val="5"/>
        <w:adjustRightInd w:val="0"/>
        <w:snapToGrid w:val="0"/>
        <w:spacing w:before="93" w:line="56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9.完成市委、市政府交办的其他任务。</w:t>
      </w:r>
    </w:p>
    <w:p>
      <w:pPr>
        <w:pStyle w:val="5"/>
        <w:adjustRightInd w:val="0"/>
        <w:snapToGrid w:val="0"/>
        <w:spacing w:before="93" w:line="560" w:lineRule="exact"/>
        <w:ind w:firstLine="672" w:firstLineChars="210"/>
        <w:outlineLvl w:val="2"/>
        <w:rPr>
          <w:rFonts w:ascii="楷体" w:hAnsi="楷体" w:eastAsia="楷体"/>
          <w:bCs/>
          <w:color w:val="000000"/>
          <w:sz w:val="32"/>
          <w:szCs w:val="32"/>
        </w:rPr>
      </w:pPr>
      <w:r>
        <w:rPr>
          <w:rFonts w:hint="eastAsia" w:ascii="楷体" w:hAnsi="楷体" w:eastAsia="楷体"/>
          <w:bCs/>
          <w:color w:val="000000"/>
          <w:sz w:val="32"/>
          <w:szCs w:val="32"/>
        </w:rPr>
        <w:t>（二）</w:t>
      </w:r>
      <w:r>
        <w:rPr>
          <w:rFonts w:ascii="楷体" w:hAnsi="楷体" w:eastAsia="楷体"/>
          <w:bCs/>
          <w:color w:val="000000"/>
          <w:sz w:val="32"/>
          <w:szCs w:val="32"/>
        </w:rPr>
        <w:t>201</w:t>
      </w:r>
      <w:r>
        <w:rPr>
          <w:rFonts w:hint="eastAsia" w:ascii="楷体" w:hAnsi="楷体" w:eastAsia="楷体"/>
          <w:bCs/>
          <w:color w:val="000000"/>
          <w:sz w:val="32"/>
          <w:szCs w:val="32"/>
        </w:rPr>
        <w:t>9年重点工作完成情况。</w:t>
      </w:r>
      <w:bookmarkEnd w:id="18"/>
      <w:bookmarkEnd w:id="19"/>
    </w:p>
    <w:p>
      <w:pPr>
        <w:pStyle w:val="5"/>
        <w:adjustRightInd w:val="0"/>
        <w:snapToGrid w:val="0"/>
        <w:spacing w:before="93" w:line="560" w:lineRule="exact"/>
        <w:ind w:firstLine="672" w:firstLineChars="210"/>
        <w:outlineLvl w:val="2"/>
        <w:rPr>
          <w:sz w:val="32"/>
          <w:szCs w:val="32"/>
        </w:rPr>
      </w:pPr>
      <w:r>
        <w:rPr>
          <w:rFonts w:hint="eastAsia"/>
          <w:sz w:val="32"/>
          <w:szCs w:val="32"/>
        </w:rPr>
        <w:t>1.强化党建工作，大力建设高素质干部队伍。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认真落实党建责任。坚持把学习宣传贯彻习近平总书记对党建工作的重要指示和论述作为首要政治任务，提高抓好机关党建工作的政治站位。及时成立机关党支部，严格执行“三会一课”等制度；组织干部职工认真学习习近平</w:t>
      </w:r>
      <w:r>
        <w:rPr>
          <w:rFonts w:hint="eastAsia" w:ascii="仿宋_GB2312" w:eastAsia="仿宋_GB2312"/>
          <w:sz w:val="32"/>
          <w:szCs w:val="32"/>
          <w:lang w:eastAsia="zh-CN"/>
        </w:rPr>
        <w:t>新时代</w:t>
      </w:r>
      <w:r>
        <w:rPr>
          <w:rFonts w:hint="eastAsia" w:ascii="仿宋_GB2312" w:eastAsia="仿宋_GB2312"/>
          <w:sz w:val="32"/>
          <w:szCs w:val="32"/>
        </w:rPr>
        <w:t>中国特色社会主义思想和</w:t>
      </w:r>
      <w:r>
        <w:rPr>
          <w:rFonts w:hint="eastAsia" w:ascii="仿宋_GB2312" w:eastAsia="仿宋_GB2312"/>
          <w:sz w:val="32"/>
          <w:szCs w:val="32"/>
          <w:lang w:eastAsia="zh-CN"/>
        </w:rPr>
        <w:t>习近平</w:t>
      </w:r>
      <w:r>
        <w:rPr>
          <w:rFonts w:hint="eastAsia" w:ascii="仿宋_GB2312" w:eastAsia="仿宋_GB2312"/>
          <w:sz w:val="32"/>
          <w:szCs w:val="32"/>
        </w:rPr>
        <w:t>总书记对四川工作系列重要指示</w:t>
      </w:r>
      <w:r>
        <w:rPr>
          <w:rFonts w:hint="eastAsia" w:ascii="仿宋_GB2312" w:eastAsia="仿宋_GB2312"/>
          <w:sz w:val="32"/>
          <w:szCs w:val="32"/>
          <w:lang w:eastAsia="zh-CN"/>
        </w:rPr>
        <w:t>精神</w:t>
      </w:r>
      <w:r>
        <w:rPr>
          <w:rFonts w:hint="eastAsia" w:ascii="仿宋_GB2312" w:eastAsia="仿宋_GB2312"/>
          <w:sz w:val="32"/>
          <w:szCs w:val="32"/>
        </w:rPr>
        <w:t>。制订</w:t>
      </w:r>
      <w:r>
        <w:rPr>
          <w:rFonts w:hint="eastAsia" w:ascii="仿宋_GB2312" w:eastAsia="仿宋_GB2312"/>
          <w:sz w:val="32"/>
          <w:szCs w:val="32"/>
          <w:highlight w:val="none"/>
        </w:rPr>
        <w:t>《党组理论学习中心组</w:t>
      </w:r>
      <w:r>
        <w:rPr>
          <w:rFonts w:hint="eastAsia" w:ascii="仿宋_GB2312" w:eastAsia="仿宋_GB2312"/>
          <w:sz w:val="32"/>
          <w:szCs w:val="32"/>
          <w:highlight w:val="none"/>
          <w:lang w:eastAsia="zh-CN"/>
        </w:rPr>
        <w:t>学习</w:t>
      </w:r>
      <w:r>
        <w:rPr>
          <w:rFonts w:hint="eastAsia" w:ascii="仿宋_GB2312" w:eastAsia="仿宋_GB2312"/>
          <w:sz w:val="32"/>
          <w:szCs w:val="32"/>
          <w:highlight w:val="none"/>
        </w:rPr>
        <w:t>计划》，</w:t>
      </w:r>
      <w:r>
        <w:rPr>
          <w:rFonts w:hint="eastAsia" w:ascii="仿宋_GB2312" w:eastAsia="仿宋_GB2312"/>
          <w:sz w:val="32"/>
          <w:szCs w:val="32"/>
        </w:rPr>
        <w:t>召开党组（扩大）会、主任办公会等19次，积极参加省、市组织的有关培训，深入学习《中国共产党党组工作条例》等法律法规、条例准则及业务知识。认真开展党员干部“双报到”志愿服务活动；组织党员干部到红星公园开展重温入党誓词等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严格落实党风廉政建设主体责任。制定中心全面从严治党党风廉政建设和反腐败工作计划，落实任务分工。通过观看警示教育片、阳光问政节目，不定期通报典型案例，加强对干部职工思想教育。组织中心全体党员干部先后赴广元监狱、广元市预防职务犯罪警示教育剑阁基地接受警示教育、赴川北家风馆接受家风教育。组织召开全市机关事务系统党建和党风廉政建设工作座谈会，全面贯彻中央八项规定、省委省政府十项规定、市委“六个带头”</w:t>
      </w:r>
      <w:r>
        <w:rPr>
          <w:rFonts w:hint="eastAsia" w:ascii="仿宋_GB2312" w:eastAsia="仿宋_GB2312"/>
          <w:sz w:val="32"/>
          <w:szCs w:val="32"/>
          <w:lang w:eastAsia="zh-CN"/>
        </w:rPr>
        <w:t>及其</w:t>
      </w:r>
      <w:r>
        <w:rPr>
          <w:rFonts w:hint="eastAsia" w:ascii="仿宋_GB2312" w:eastAsia="仿宋_GB2312"/>
          <w:sz w:val="32"/>
          <w:szCs w:val="32"/>
        </w:rPr>
        <w:t>实施细则精神。中心自组建以来始终坚持厉行节约，从紧控制支出，严格按节约集约要求办事。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（3）加强思想宣传工作。认真落实意识形态工作责任制，加强中心QQ、微信群和网站管理，强化舆论引导和宣传思想工作。坚持和完善各项学习制度，按照学习计划，开展集中学和自学</w:t>
      </w:r>
      <w:r>
        <w:rPr>
          <w:rFonts w:hint="eastAsia" w:ascii="仿宋_GB2312" w:eastAsia="仿宋_GB2312"/>
          <w:sz w:val="32"/>
          <w:szCs w:val="32"/>
          <w:lang w:eastAsia="zh-CN"/>
        </w:rPr>
        <w:t>，用理论武装干部职工头脑，推动工作，指导实践</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（4）认真开展“不忘初心、牢记使命”主题教育。严格按照市委</w:t>
      </w:r>
      <w:r>
        <w:rPr>
          <w:rFonts w:hint="eastAsia" w:ascii="仿宋_GB2312" w:eastAsia="仿宋_GB2312"/>
          <w:sz w:val="32"/>
          <w:szCs w:val="32"/>
          <w:lang w:eastAsia="zh-CN"/>
        </w:rPr>
        <w:t>的</w:t>
      </w:r>
      <w:r>
        <w:rPr>
          <w:rFonts w:hint="eastAsia" w:ascii="仿宋_GB2312" w:eastAsia="仿宋_GB2312"/>
          <w:sz w:val="32"/>
          <w:szCs w:val="32"/>
        </w:rPr>
        <w:t>安排，始终坚持将学习教育、调查研究、检视问题、整改落实贯穿主题教育全过程</w:t>
      </w:r>
      <w:r>
        <w:rPr>
          <w:rFonts w:hint="eastAsia" w:ascii="仿宋_GB2312" w:eastAsia="仿宋_GB2312"/>
          <w:sz w:val="32"/>
          <w:szCs w:val="32"/>
          <w:lang w:eastAsia="zh-CN"/>
        </w:rPr>
        <w:t>。</w:t>
      </w:r>
      <w:r>
        <w:rPr>
          <w:rFonts w:hint="eastAsia" w:ascii="仿宋_GB2312" w:eastAsia="仿宋_GB2312"/>
          <w:sz w:val="32"/>
          <w:szCs w:val="32"/>
        </w:rPr>
        <w:t>坚持每周三夜学，把革命传统、形势政策、先进典型、警示教育作为学习主要内容</w:t>
      </w:r>
      <w:r>
        <w:rPr>
          <w:rFonts w:hint="eastAsia" w:ascii="仿宋_GB2312" w:eastAsia="仿宋_GB2312"/>
          <w:sz w:val="32"/>
          <w:szCs w:val="32"/>
          <w:lang w:eastAsia="zh-CN"/>
        </w:rPr>
        <w:t>；</w:t>
      </w:r>
      <w:r>
        <w:rPr>
          <w:rFonts w:hint="eastAsia" w:ascii="仿宋_GB2312" w:eastAsia="仿宋_GB2312"/>
          <w:sz w:val="32"/>
          <w:szCs w:val="32"/>
        </w:rPr>
        <w:t>将开展办公用房和公务用车管理两个方面专项整治作为自选动作</w:t>
      </w:r>
      <w:r>
        <w:rPr>
          <w:rFonts w:hint="eastAsia" w:ascii="仿宋_GB2312" w:eastAsia="仿宋_GB2312"/>
          <w:sz w:val="32"/>
          <w:szCs w:val="32"/>
          <w:lang w:eastAsia="zh-CN"/>
        </w:rPr>
        <w:t>；</w:t>
      </w:r>
      <w:r>
        <w:rPr>
          <w:rFonts w:hint="eastAsia" w:ascii="仿宋_GB2312" w:eastAsia="仿宋_GB2312"/>
          <w:sz w:val="32"/>
          <w:szCs w:val="32"/>
        </w:rPr>
        <w:t>深入调查研究，完成调研文章4篇</w:t>
      </w:r>
      <w:r>
        <w:rPr>
          <w:rFonts w:hint="eastAsia" w:ascii="仿宋_GB2312" w:eastAsia="仿宋_GB2312"/>
          <w:sz w:val="32"/>
          <w:szCs w:val="32"/>
          <w:lang w:eastAsia="zh-CN"/>
        </w:rPr>
        <w:t>；</w:t>
      </w:r>
      <w:r>
        <w:rPr>
          <w:rFonts w:hint="eastAsia" w:ascii="仿宋_GB2312" w:eastAsia="仿宋_GB2312"/>
          <w:sz w:val="32"/>
          <w:szCs w:val="32"/>
        </w:rPr>
        <w:t>高质量</w:t>
      </w:r>
      <w:r>
        <w:rPr>
          <w:rFonts w:hint="eastAsia" w:ascii="仿宋_GB2312" w:eastAsia="仿宋_GB2312"/>
          <w:sz w:val="32"/>
          <w:szCs w:val="32"/>
          <w:lang w:eastAsia="zh-CN"/>
        </w:rPr>
        <w:t>召</w:t>
      </w:r>
      <w:r>
        <w:rPr>
          <w:rFonts w:hint="eastAsia" w:ascii="仿宋_GB2312" w:eastAsia="仿宋_GB2312"/>
          <w:sz w:val="32"/>
          <w:szCs w:val="32"/>
        </w:rPr>
        <w:t>开专题民主生活会。</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2.抓</w:t>
      </w:r>
      <w:r>
        <w:rPr>
          <w:rFonts w:hint="eastAsia" w:ascii="楷体_GB2312" w:eastAsia="楷体_GB2312"/>
          <w:sz w:val="32"/>
          <w:szCs w:val="32"/>
          <w:lang w:eastAsia="zh-CN"/>
        </w:rPr>
        <w:t>实</w:t>
      </w:r>
      <w:r>
        <w:rPr>
          <w:rFonts w:hint="eastAsia" w:ascii="楷体_GB2312" w:eastAsia="楷体_GB2312"/>
          <w:sz w:val="32"/>
          <w:szCs w:val="32"/>
        </w:rPr>
        <w:t>本职工作，提升后勤服务保障水平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（1）资产管理规范有序。一是全力做好机构改革涉改单位办公用房和办公设备保障工作。为19个单位调剂办公用房3万余平方米。为涉改单位协调通用办公家具、资产原值共计10余万元。先后为</w:t>
      </w:r>
      <w:r>
        <w:rPr>
          <w:rFonts w:hint="eastAsia" w:ascii="仿宋_GB2312" w:eastAsia="仿宋_GB2312"/>
          <w:sz w:val="32"/>
          <w:szCs w:val="32"/>
          <w:lang w:eastAsia="zh-CN"/>
        </w:rPr>
        <w:t>市</w:t>
      </w:r>
      <w:r>
        <w:rPr>
          <w:rFonts w:hint="eastAsia" w:ascii="仿宋_GB2312" w:eastAsia="仿宋_GB2312"/>
          <w:sz w:val="32"/>
          <w:szCs w:val="32"/>
        </w:rPr>
        <w:t>医保局等8部门调剂办公设备、家具376台（件），调剂资产原值300余万元。二是认真贯彻落实《党政机关办公用房管理办法》和《四川省党政机关办公用房管理实施办法》，认真开展党政机关办公用房配置清理和信息报送工作，落实整改办公室</w:t>
      </w:r>
      <w:r>
        <w:rPr>
          <w:rFonts w:hint="eastAsia" w:ascii="仿宋_GB2312" w:eastAsia="仿宋_GB2312"/>
          <w:sz w:val="32"/>
          <w:szCs w:val="32"/>
          <w:lang w:eastAsia="zh-CN"/>
        </w:rPr>
        <w:t>微</w:t>
      </w:r>
      <w:r>
        <w:rPr>
          <w:rFonts w:hint="eastAsia" w:ascii="仿宋_GB2312" w:eastAsia="仿宋_GB2312"/>
          <w:sz w:val="32"/>
          <w:szCs w:val="32"/>
        </w:rPr>
        <w:t>超标等问题，相关统计报表及时上报省机关事务管理局。全年共为10个单位落实了办公新址、10个单位增配了办公用房、调减2个单位办公用房使用面积，完成9个市级单位办公用房维修交办事项。积极做好人行广元中支原办公区土地资产置换收回相关工作。三是积极发挥公物仓和维修车间的特殊作用，全年接收闲置及新购物资5055件，资产原值433.9万元，为52个市级部门（单位）调剂、借用办公物资4784件，原值419万元。</w:t>
      </w:r>
      <w:r>
        <w:rPr>
          <w:rFonts w:hint="eastAsia" w:ascii="仿宋_GB2312" w:eastAsia="仿宋_GB2312"/>
          <w:sz w:val="32"/>
          <w:szCs w:val="32"/>
          <w:highlight w:val="none"/>
        </w:rPr>
        <w:t>全年</w:t>
      </w:r>
      <w:r>
        <w:rPr>
          <w:rFonts w:hint="eastAsia" w:ascii="仿宋_GB2312" w:eastAsia="仿宋_GB2312"/>
          <w:sz w:val="32"/>
          <w:szCs w:val="32"/>
        </w:rPr>
        <w:t>公开处置市级部门报废资产残值9起，处置收益上缴财政35.7万元。完成交办的闲置房屋接收3处、办公用房处置1处。四是严格执行市级行政事业单位通用办公设备、办公家具配置标准规定，对市级部门办公物资申购严格把关。</w:t>
      </w:r>
    </w:p>
    <w:p>
      <w:pPr>
        <w:spacing w:line="560" w:lineRule="exact"/>
        <w:ind w:firstLine="640" w:firstLineChars="200"/>
        <w:rPr>
          <w:rFonts w:ascii="仿宋_GB2312" w:hAnsi="楷体" w:eastAsia="仿宋_GB2312" w:cs="楷体"/>
          <w:bCs/>
          <w:color w:val="000000"/>
          <w:sz w:val="32"/>
          <w:szCs w:val="32"/>
        </w:rPr>
      </w:pPr>
      <w:r>
        <w:rPr>
          <w:rFonts w:hint="eastAsia" w:ascii="仿宋_GB2312" w:eastAsia="仿宋_GB2312"/>
          <w:sz w:val="32"/>
          <w:szCs w:val="32"/>
        </w:rPr>
        <w:t>（2）公车改革稳中求进。</w:t>
      </w:r>
      <w:r>
        <w:rPr>
          <w:rFonts w:hint="eastAsia" w:ascii="仿宋_GB2312" w:hAnsi="楷体" w:eastAsia="仿宋_GB2312" w:cs="楷体"/>
          <w:bCs/>
          <w:color w:val="000000"/>
          <w:sz w:val="32"/>
          <w:szCs w:val="32"/>
        </w:rPr>
        <w:t>一是</w:t>
      </w:r>
      <w:r>
        <w:rPr>
          <w:rFonts w:hint="eastAsia" w:ascii="仿宋_GB2312" w:hAnsi="仿宋_GB2312" w:eastAsia="仿宋_GB2312" w:cs="仿宋_GB2312"/>
          <w:bCs/>
          <w:sz w:val="32"/>
          <w:szCs w:val="32"/>
        </w:rPr>
        <w:t>大力推进标准化建设</w:t>
      </w:r>
      <w:r>
        <w:rPr>
          <w:rFonts w:hint="eastAsia" w:ascii="仿宋_GB2312" w:hAnsi="楷体" w:eastAsia="仿宋_GB2312" w:cs="楷体"/>
          <w:bCs/>
          <w:color w:val="000000"/>
          <w:sz w:val="32"/>
          <w:szCs w:val="32"/>
        </w:rPr>
        <w:t>。牵头完成《公务用车随车物品配备规范》等四个省级专项性标准编制。</w:t>
      </w:r>
      <w:r>
        <w:rPr>
          <w:rFonts w:hint="eastAsia" w:ascii="仿宋" w:hAnsi="仿宋" w:eastAsia="仿宋" w:cs="仿宋"/>
          <w:sz w:val="32"/>
          <w:szCs w:val="32"/>
        </w:rPr>
        <w:t>完成公务用车定点租赁、维修、保险和加油机构的招标工作；公务用车燃油费支出同比去年减少</w:t>
      </w:r>
      <w:r>
        <w:rPr>
          <w:rFonts w:ascii="仿宋" w:hAnsi="仿宋" w:eastAsia="仿宋" w:cs="仿宋"/>
          <w:sz w:val="32"/>
          <w:szCs w:val="32"/>
        </w:rPr>
        <w:t>22%</w:t>
      </w:r>
      <w:r>
        <w:rPr>
          <w:rFonts w:hint="eastAsia" w:ascii="仿宋" w:hAnsi="仿宋" w:eastAsia="仿宋" w:cs="仿宋"/>
          <w:sz w:val="32"/>
          <w:szCs w:val="32"/>
        </w:rPr>
        <w:t>，维修费支出同比减少</w:t>
      </w:r>
      <w:r>
        <w:rPr>
          <w:rFonts w:ascii="仿宋" w:hAnsi="仿宋" w:eastAsia="仿宋" w:cs="仿宋"/>
          <w:sz w:val="32"/>
          <w:szCs w:val="32"/>
        </w:rPr>
        <w:t>20%</w:t>
      </w:r>
      <w:r>
        <w:rPr>
          <w:rFonts w:hint="eastAsia" w:ascii="仿宋" w:hAnsi="仿宋" w:eastAsia="仿宋" w:cs="仿宋"/>
          <w:sz w:val="32"/>
          <w:szCs w:val="32"/>
        </w:rPr>
        <w:t>。</w:t>
      </w:r>
      <w:r>
        <w:rPr>
          <w:rFonts w:hint="eastAsia" w:ascii="仿宋_GB2312" w:hAnsi="仿宋_GB2312" w:eastAsia="仿宋_GB2312" w:cs="仿宋_GB2312"/>
          <w:sz w:val="32"/>
          <w:szCs w:val="32"/>
        </w:rPr>
        <w:t>二</w:t>
      </w:r>
      <w:r>
        <w:rPr>
          <w:rFonts w:hint="eastAsia" w:ascii="仿宋_GB2312" w:hAnsi="仿宋_GB2312" w:eastAsia="仿宋_GB2312" w:cs="仿宋_GB2312"/>
          <w:bCs/>
          <w:sz w:val="32"/>
          <w:szCs w:val="32"/>
        </w:rPr>
        <w:t>是</w:t>
      </w:r>
      <w:r>
        <w:rPr>
          <w:rFonts w:hint="eastAsia" w:ascii="仿宋_GB2312" w:hAnsi="仿宋_GB2312" w:eastAsia="仿宋_GB2312" w:cs="仿宋_GB2312"/>
          <w:kern w:val="0"/>
          <w:sz w:val="32"/>
          <w:szCs w:val="32"/>
        </w:rPr>
        <w:t>平台建设再上新台阶</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市本级及7个县区全面建成公务用车管理平台，全市604辆保留公务用车全部纳入平台统一管理调度。全面融入全省“一张网”。</w:t>
      </w:r>
      <w:r>
        <w:rPr>
          <w:rFonts w:hint="eastAsia" w:ascii="仿宋_GB2312" w:hAnsi="仿宋_GB2312" w:eastAsia="仿宋_GB2312" w:cs="仿宋_GB2312"/>
          <w:kern w:val="0"/>
          <w:sz w:val="32"/>
          <w:szCs w:val="32"/>
        </w:rPr>
        <w:t>三是强化公务出行保障。</w:t>
      </w:r>
      <w:r>
        <w:rPr>
          <w:rFonts w:hint="eastAsia" w:ascii="仿宋_GB2312" w:hAnsi="仿宋_GB2312" w:eastAsia="仿宋_GB2312" w:cs="仿宋_GB2312"/>
          <w:sz w:val="32"/>
          <w:szCs w:val="32"/>
        </w:rPr>
        <w:t>公开招标确定了2019-202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年度市级定点汽车租赁公司4家、包车服务公司2家，动态投入车辆200余台；</w:t>
      </w:r>
      <w:r>
        <w:rPr>
          <w:rFonts w:hint="eastAsia" w:ascii="仿宋" w:hAnsi="仿宋" w:eastAsia="仿宋" w:cs="仿宋"/>
          <w:sz w:val="32"/>
          <w:szCs w:val="32"/>
        </w:rPr>
        <w:t>圆满完成了全国产业扶贫现场会等7个重大活动和会议的服务保障工作。公务用车保障率达到</w:t>
      </w:r>
      <w:r>
        <w:rPr>
          <w:rFonts w:ascii="仿宋" w:hAnsi="仿宋" w:eastAsia="仿宋" w:cs="仿宋"/>
          <w:sz w:val="32"/>
          <w:szCs w:val="32"/>
        </w:rPr>
        <w:t>97%</w:t>
      </w:r>
      <w:r>
        <w:rPr>
          <w:rFonts w:hint="eastAsia" w:ascii="仿宋" w:hAnsi="仿宋" w:eastAsia="仿宋" w:cs="仿宋"/>
          <w:sz w:val="32"/>
          <w:szCs w:val="32"/>
        </w:rPr>
        <w:t>，服务满意度达到</w:t>
      </w:r>
      <w:r>
        <w:rPr>
          <w:rFonts w:ascii="仿宋" w:hAnsi="仿宋" w:eastAsia="仿宋" w:cs="仿宋"/>
          <w:sz w:val="32"/>
          <w:szCs w:val="32"/>
        </w:rPr>
        <w:t>98%</w:t>
      </w:r>
      <w:r>
        <w:rPr>
          <w:rFonts w:hint="eastAsia" w:ascii="仿宋_GB2312" w:hAnsi="仿宋_GB2312" w:eastAsia="仿宋_GB2312" w:cs="仿宋_GB2312"/>
          <w:sz w:val="32"/>
          <w:szCs w:val="32"/>
        </w:rPr>
        <w:t>；</w:t>
      </w:r>
      <w:r>
        <w:rPr>
          <w:rFonts w:hint="eastAsia" w:ascii="仿宋" w:hAnsi="仿宋" w:eastAsia="仿宋" w:cs="仿宋"/>
          <w:sz w:val="32"/>
          <w:szCs w:val="32"/>
        </w:rPr>
        <w:t>党政机关公务用车制度改革工作在全省考核中以98.31的好成绩获得第一名。</w:t>
      </w:r>
    </w:p>
    <w:p>
      <w:pPr>
        <w:spacing w:line="560" w:lineRule="exact"/>
        <w:ind w:firstLine="640" w:firstLineChars="200"/>
        <w:outlineLvl w:val="0"/>
        <w:rPr>
          <w:rFonts w:ascii="仿宋_GB2312" w:eastAsia="仿宋_GB2312"/>
          <w:color w:val="000000"/>
          <w:sz w:val="32"/>
          <w:szCs w:val="32"/>
        </w:rPr>
      </w:pPr>
      <w:r>
        <w:rPr>
          <w:rFonts w:hint="eastAsia" w:ascii="仿宋_GB2312" w:eastAsia="仿宋_GB2312"/>
          <w:sz w:val="32"/>
          <w:szCs w:val="32"/>
        </w:rPr>
        <w:t>（3）节能减排强力推进。</w:t>
      </w:r>
      <w:r>
        <w:rPr>
          <w:rFonts w:hint="eastAsia" w:ascii="仿宋_GB2312" w:hAnsi="楷体" w:eastAsia="仿宋_GB2312"/>
          <w:bCs/>
          <w:sz w:val="32"/>
          <w:szCs w:val="32"/>
        </w:rPr>
        <w:t>一是</w:t>
      </w:r>
      <w:r>
        <w:rPr>
          <w:rFonts w:hint="eastAsia" w:ascii="仿宋_GB2312" w:hAnsi="宋体" w:eastAsia="仿宋_GB2312" w:cs="宋体"/>
          <w:kern w:val="0"/>
          <w:sz w:val="32"/>
          <w:szCs w:val="32"/>
        </w:rPr>
        <w:t>开展公共机构能源资源消费统计数据质量会审抽查工作，公共机构节能计量统计信息化平台使用率达100%。182个单位能耗工作顺利通过省局能耗审核小组审查。</w:t>
      </w:r>
      <w:r>
        <w:rPr>
          <w:rFonts w:hint="eastAsia" w:ascii="仿宋_GB2312" w:hAnsi="楷体" w:eastAsia="仿宋_GB2312"/>
          <w:bCs/>
          <w:sz w:val="32"/>
          <w:szCs w:val="32"/>
        </w:rPr>
        <w:t>二是</w:t>
      </w:r>
      <w:r>
        <w:rPr>
          <w:rFonts w:hint="eastAsia" w:ascii="仿宋_GB2312" w:hAnsi="仿宋_GB2312" w:eastAsia="仿宋_GB2312" w:cs="仿宋_GB2312"/>
          <w:sz w:val="32"/>
          <w:szCs w:val="32"/>
        </w:rPr>
        <w:t>成功创建 “国家级节约型公共机构示范单位”2家、“省级节约型公共机构示范单位”5家、</w:t>
      </w:r>
      <w:r>
        <w:rPr>
          <w:rFonts w:hint="eastAsia" w:ascii="仿宋_GB2312" w:eastAsia="仿宋_GB2312"/>
          <w:sz w:val="32"/>
          <w:szCs w:val="32"/>
        </w:rPr>
        <w:t>“市级节约型公共机构示范单位”76家；成功申报2019-2020年国家级节约型公共机构示范创建单位4家、省级节约型公共机构示范创建单位3家。</w:t>
      </w:r>
      <w:r>
        <w:rPr>
          <w:rFonts w:hint="eastAsia" w:ascii="仿宋_GB2312" w:hAnsi="楷体" w:eastAsia="仿宋_GB2312"/>
          <w:bCs/>
          <w:sz w:val="32"/>
          <w:szCs w:val="32"/>
        </w:rPr>
        <w:t>三是</w:t>
      </w:r>
      <w:r>
        <w:rPr>
          <w:rFonts w:hint="eastAsia" w:ascii="仿宋_GB2312" w:eastAsia="仿宋_GB2312"/>
          <w:sz w:val="32"/>
          <w:szCs w:val="32"/>
        </w:rPr>
        <w:t>成立了省级、市级公共机构生活垃圾分类志愿者队伍；77个市级机关开展了节能宣讲，950名机关领导干部接受了培训并办理了广元市生活垃圾分类积分卡；培训公共机构生活垃圾分类师3000余名；建有食堂的机关事业单位均同专业机构建立了餐厨垃圾处置合作关系。</w:t>
      </w:r>
      <w:r>
        <w:rPr>
          <w:rFonts w:hint="eastAsia" w:ascii="仿宋_GB2312" w:hAnsi="楷体" w:eastAsia="仿宋_GB2312"/>
          <w:bCs/>
          <w:sz w:val="32"/>
          <w:szCs w:val="32"/>
        </w:rPr>
        <w:t>四是</w:t>
      </w:r>
      <w:r>
        <w:rPr>
          <w:rFonts w:hint="eastAsia" w:ascii="仿宋_GB2312" w:eastAsia="仿宋_GB2312"/>
          <w:sz w:val="32"/>
          <w:szCs w:val="32"/>
        </w:rPr>
        <w:t>积极落实《党政机关公务用车管理办法》有关要求，确保公务用车更新新能源汽车不低于35%。</w:t>
      </w:r>
      <w:r>
        <w:rPr>
          <w:rFonts w:hint="eastAsia" w:ascii="仿宋_GB2312" w:hAnsi="楷体" w:eastAsia="仿宋_GB2312"/>
          <w:bCs/>
          <w:sz w:val="32"/>
          <w:szCs w:val="32"/>
        </w:rPr>
        <w:t>五是</w:t>
      </w:r>
      <w:r>
        <w:rPr>
          <w:rFonts w:hint="eastAsia" w:ascii="仿宋_GB2312" w:eastAsia="仿宋_GB2312"/>
          <w:color w:val="000000"/>
          <w:sz w:val="32"/>
          <w:szCs w:val="32"/>
        </w:rPr>
        <w:t>组织14人参加</w:t>
      </w:r>
      <w:r>
        <w:rPr>
          <w:rFonts w:hint="eastAsia" w:ascii="仿宋_GB2312" w:eastAsia="仿宋_GB2312"/>
          <w:color w:val="000000"/>
          <w:sz w:val="32"/>
          <w:szCs w:val="32"/>
          <w:lang w:eastAsia="zh-CN"/>
        </w:rPr>
        <w:t>国家机关事务管理局</w:t>
      </w:r>
      <w:r>
        <w:rPr>
          <w:rFonts w:hint="eastAsia" w:ascii="仿宋_GB2312" w:eastAsia="仿宋_GB2312"/>
          <w:color w:val="000000"/>
          <w:sz w:val="32"/>
          <w:szCs w:val="32"/>
        </w:rPr>
        <w:t>和清华大学开办的节能管理远程培训；组织180名节能工作管理人员和节能联络员参加了市公共机构节能暨生活垃圾分类培训。</w:t>
      </w:r>
      <w:r>
        <w:rPr>
          <w:rFonts w:hint="eastAsia" w:ascii="仿宋_GB2312" w:hAnsi="仿宋_GB2312" w:eastAsia="仿宋_GB2312" w:cs="仿宋_GB2312"/>
          <w:color w:val="222222"/>
          <w:sz w:val="32"/>
          <w:szCs w:val="32"/>
        </w:rPr>
        <w:t>举办了2019年“节能宣传周 全国（广元）低碳日”广元市公共机构节约能源资源宣传活动启动仪式。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（4）机关服务优质高效。</w:t>
      </w:r>
      <w:r>
        <w:rPr>
          <w:rFonts w:hint="eastAsia" w:eastAsia="仿宋_GB2312"/>
          <w:sz w:val="32"/>
          <w:szCs w:val="32"/>
        </w:rPr>
        <w:t>一是圆满完成市行政中心1、2号办公楼抗震加固工程，提升了老旧办公楼使用安全等级。</w:t>
      </w:r>
      <w:r>
        <w:rPr>
          <w:rFonts w:hint="eastAsia" w:eastAsia="仿宋_GB2312"/>
          <w:sz w:val="32"/>
          <w:szCs w:val="32"/>
          <w:lang w:eastAsia="zh-CN"/>
        </w:rPr>
        <w:t>二</w:t>
      </w:r>
      <w:r>
        <w:rPr>
          <w:rFonts w:hint="eastAsia" w:eastAsia="仿宋_GB2312"/>
          <w:sz w:val="32"/>
          <w:szCs w:val="32"/>
        </w:rPr>
        <w:t>是做好200余名机关干部住房保障，</w:t>
      </w:r>
      <w:r>
        <w:rPr>
          <w:rFonts w:eastAsia="仿宋_GB2312"/>
          <w:sz w:val="32"/>
          <w:szCs w:val="32"/>
        </w:rPr>
        <w:t>有效地解决了无房青年干部的住房困难</w:t>
      </w:r>
      <w:r>
        <w:rPr>
          <w:rFonts w:hint="eastAsia" w:eastAsia="仿宋_GB2312"/>
          <w:sz w:val="32"/>
          <w:szCs w:val="32"/>
        </w:rPr>
        <w:t>。</w:t>
      </w:r>
      <w:r>
        <w:rPr>
          <w:rFonts w:hint="eastAsia" w:eastAsia="仿宋_GB2312"/>
          <w:sz w:val="32"/>
          <w:szCs w:val="32"/>
          <w:lang w:eastAsia="zh-CN"/>
        </w:rPr>
        <w:t>三</w:t>
      </w:r>
      <w:r>
        <w:rPr>
          <w:rFonts w:hint="eastAsia" w:ascii="仿宋_GB2312" w:eastAsia="仿宋_GB2312"/>
          <w:sz w:val="32"/>
          <w:szCs w:val="32"/>
        </w:rPr>
        <w:t>是做好全国农办主任座谈会、四川村长论坛、村社发展大会暨全省深化供销合作社双线运行体系建设工作会后勤服务保障工作。</w:t>
      </w:r>
      <w:r>
        <w:rPr>
          <w:rFonts w:hint="eastAsia" w:ascii="仿宋_GB2312" w:eastAsia="仿宋_GB2312"/>
          <w:sz w:val="32"/>
          <w:szCs w:val="32"/>
          <w:lang w:eastAsia="zh-CN"/>
        </w:rPr>
        <w:t>四</w:t>
      </w:r>
      <w:r>
        <w:rPr>
          <w:rFonts w:hint="eastAsia" w:ascii="仿宋_GB2312" w:eastAsia="仿宋_GB2312"/>
          <w:sz w:val="32"/>
          <w:szCs w:val="32"/>
        </w:rPr>
        <w:t>是完成市本级2017-2018年机关运行成本统计工作，完成2018年度内控管理制度报告工作和市级预算单位政府会计制度改革。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主动谋划其他工作。一是大力协调云南海诚集团来广考察文旅项目，积极为建筑设备租赁企业总部经济园区项目提供有关服务；整体接管市防汛物资储备仓库资产并公开招租。二是派出1名同志到剑阁县下寺镇窑沟社区担任第一书记，帮扶干部多次到挂联贫困户开展工作；分别召开全市机关事业单位、驻广单位食堂扶贫产品采购工作推进会，印发扶贫产品采购工作方案，就扶贫产品进食堂作了安排部署。</w:t>
      </w:r>
      <w:r>
        <w:rPr>
          <w:rFonts w:hint="eastAsia" w:ascii="仿宋_GB2312" w:eastAsia="仿宋_GB2312"/>
          <w:sz w:val="32"/>
          <w:szCs w:val="32"/>
          <w:lang w:val="en-US" w:eastAsia="zh-CN"/>
        </w:rPr>
        <w:t>2019年6-12月</w:t>
      </w:r>
      <w:r>
        <w:rPr>
          <w:rFonts w:hint="eastAsia" w:ascii="仿宋_GB2312" w:eastAsia="仿宋_GB2312"/>
          <w:sz w:val="32"/>
          <w:szCs w:val="32"/>
        </w:rPr>
        <w:t>，建有食堂的市级机关事业单位、驻广单位和县区（含广元经开区）</w:t>
      </w:r>
      <w:r>
        <w:rPr>
          <w:rFonts w:hint="eastAsia" w:ascii="仿宋_GB2312" w:eastAsia="仿宋_GB2312"/>
          <w:sz w:val="32"/>
          <w:szCs w:val="32"/>
          <w:lang w:eastAsia="zh-CN"/>
        </w:rPr>
        <w:t>共</w:t>
      </w:r>
      <w:r>
        <w:rPr>
          <w:rFonts w:hint="eastAsia" w:ascii="仿宋_GB2312" w:eastAsia="仿宋_GB2312"/>
          <w:sz w:val="32"/>
          <w:szCs w:val="32"/>
        </w:rPr>
        <w:t>采购价值</w:t>
      </w:r>
      <w:r>
        <w:rPr>
          <w:rFonts w:hint="eastAsia" w:ascii="仿宋_GB2312" w:eastAsia="仿宋_GB2312"/>
          <w:sz w:val="32"/>
          <w:szCs w:val="32"/>
          <w:lang w:val="en-US" w:eastAsia="zh-CN"/>
        </w:rPr>
        <w:t>776</w:t>
      </w:r>
      <w:r>
        <w:rPr>
          <w:rFonts w:hint="eastAsia" w:ascii="仿宋_GB2312" w:eastAsia="仿宋_GB2312"/>
          <w:sz w:val="32"/>
          <w:szCs w:val="32"/>
        </w:rPr>
        <w:t>万元的</w:t>
      </w:r>
      <w:r>
        <w:rPr>
          <w:rFonts w:hint="eastAsia" w:ascii="仿宋_GB2312" w:eastAsia="仿宋_GB2312"/>
          <w:sz w:val="32"/>
          <w:szCs w:val="32"/>
          <w:lang w:val="en-US" w:eastAsia="zh-CN"/>
        </w:rPr>
        <w:t>扶贫</w:t>
      </w:r>
      <w:r>
        <w:rPr>
          <w:rFonts w:hint="eastAsia" w:ascii="仿宋_GB2312" w:eastAsia="仿宋_GB2312"/>
          <w:sz w:val="32"/>
          <w:szCs w:val="32"/>
        </w:rPr>
        <w:t>产品。</w:t>
      </w:r>
    </w:p>
    <w:p>
      <w:pPr>
        <w:pStyle w:val="3"/>
        <w:spacing w:line="560" w:lineRule="exact"/>
        <w:ind w:firstLine="320" w:firstLineChars="100"/>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pacing w:line="560" w:lineRule="exact"/>
        <w:ind w:firstLine="800" w:firstLineChars="250"/>
        <w:rPr>
          <w:rFonts w:ascii="仿宋" w:hAnsi="仿宋" w:eastAsia="仿宋"/>
          <w:sz w:val="32"/>
          <w:szCs w:val="32"/>
        </w:rPr>
      </w:pPr>
      <w:r>
        <w:rPr>
          <w:rFonts w:hint="eastAsia" w:ascii="仿宋" w:hAnsi="仿宋" w:eastAsia="仿宋"/>
          <w:sz w:val="32"/>
          <w:szCs w:val="32"/>
        </w:rPr>
        <w:t>广元市机关事务服务中心下属二级单位1个，其中其他事业单位1个。</w:t>
      </w:r>
    </w:p>
    <w:p>
      <w:pPr>
        <w:pStyle w:val="5"/>
        <w:adjustRightInd w:val="0"/>
        <w:snapToGrid w:val="0"/>
        <w:spacing w:before="93" w:line="56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广元市机关事务服务中心</w:t>
      </w:r>
      <w:r>
        <w:rPr>
          <w:rFonts w:hint="eastAsia" w:ascii="仿宋" w:hAnsi="仿宋" w:eastAsia="仿宋"/>
          <w:color w:val="000000"/>
          <w:sz w:val="32"/>
          <w:szCs w:val="32"/>
        </w:rPr>
        <w:t>2019年度部门决算编制范围的预算单位包括</w:t>
      </w:r>
      <w:bookmarkStart w:id="22" w:name="_Toc15306275"/>
      <w:bookmarkStart w:id="23" w:name="_Toc15378448"/>
      <w:bookmarkStart w:id="24" w:name="_Toc15377201"/>
      <w:bookmarkStart w:id="25" w:name="_Toc15377432"/>
      <w:r>
        <w:rPr>
          <w:rFonts w:hint="eastAsia" w:ascii="仿宋" w:hAnsi="仿宋" w:eastAsia="仿宋" w:cs="仿宋"/>
          <w:sz w:val="32"/>
          <w:szCs w:val="32"/>
        </w:rPr>
        <w:t>广元市机关事务服务中心本级。</w:t>
      </w:r>
      <w:bookmarkEnd w:id="22"/>
      <w:bookmarkEnd w:id="23"/>
      <w:bookmarkEnd w:id="24"/>
      <w:bookmarkEnd w:id="25"/>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6" w:name="_Toc15377204"/>
      <w:bookmarkStart w:id="27"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6"/>
      <w:bookmarkEnd w:id="27"/>
    </w:p>
    <w:p/>
    <w:p>
      <w:pPr>
        <w:pStyle w:val="23"/>
        <w:numPr>
          <w:ilvl w:val="0"/>
          <w:numId w:val="1"/>
        </w:numPr>
        <w:spacing w:line="600" w:lineRule="exact"/>
        <w:ind w:firstLineChars="0"/>
        <w:outlineLvl w:val="1"/>
        <w:rPr>
          <w:rStyle w:val="25"/>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2019年度收、支总计909.13万元。与2018年相比，收、支总计各增长7.24万元，增长0.8</w:t>
      </w:r>
      <w:r>
        <w:rPr>
          <w:rFonts w:ascii="仿宋" w:hAnsi="仿宋" w:eastAsia="仿宋"/>
          <w:color w:val="000000"/>
          <w:sz w:val="32"/>
          <w:szCs w:val="32"/>
        </w:rPr>
        <w:t>%</w:t>
      </w:r>
      <w:r>
        <w:rPr>
          <w:rFonts w:hint="eastAsia" w:ascii="仿宋" w:hAnsi="仿宋" w:eastAsia="仿宋"/>
          <w:color w:val="000000"/>
          <w:sz w:val="32"/>
          <w:szCs w:val="32"/>
        </w:rPr>
        <w:t>。主要变动原因是机构改革，人员增加。</w:t>
      </w:r>
    </w:p>
    <w:p>
      <w:pPr>
        <w:pStyle w:val="23"/>
        <w:numPr>
          <w:ilvl w:val="0"/>
          <w:numId w:val="1"/>
        </w:numPr>
        <w:spacing w:line="600" w:lineRule="exact"/>
        <w:ind w:firstLineChars="0"/>
        <w:outlineLvl w:val="1"/>
        <w:rPr>
          <w:rStyle w:val="25"/>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9年本年收入合计839.92万元，其中：一般公共预算财政拨款收入782.92万元，占93.21</w:t>
      </w:r>
      <w:r>
        <w:rPr>
          <w:rFonts w:ascii="仿宋" w:hAnsi="仿宋" w:eastAsia="仿宋"/>
          <w:color w:val="000000"/>
          <w:sz w:val="32"/>
          <w:szCs w:val="32"/>
        </w:rPr>
        <w:t>%</w:t>
      </w:r>
      <w:r>
        <w:rPr>
          <w:rFonts w:hint="eastAsia" w:ascii="仿宋" w:hAnsi="仿宋" w:eastAsia="仿宋"/>
          <w:color w:val="000000"/>
          <w:sz w:val="32"/>
          <w:szCs w:val="32"/>
        </w:rPr>
        <w:t>；其他收入57万元，占6.79</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32"/>
      <w:bookmarkEnd w:id="3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9年本年支出合计761.86万元，其中：基本支出218.08万元，占28.62</w:t>
      </w:r>
      <w:r>
        <w:rPr>
          <w:rFonts w:ascii="仿宋" w:hAnsi="仿宋" w:eastAsia="仿宋"/>
          <w:color w:val="000000"/>
          <w:sz w:val="32"/>
          <w:szCs w:val="32"/>
        </w:rPr>
        <w:t>%</w:t>
      </w:r>
      <w:r>
        <w:rPr>
          <w:rFonts w:hint="eastAsia" w:ascii="仿宋" w:hAnsi="仿宋" w:eastAsia="仿宋"/>
          <w:color w:val="000000"/>
          <w:sz w:val="32"/>
          <w:szCs w:val="32"/>
        </w:rPr>
        <w:t>；项目支出543.79万元，占71.38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4"/>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sz w:val="32"/>
          <w:szCs w:val="32"/>
        </w:rPr>
        <w:t>852.13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8年相比，财政拨款收、支总计各减少49.76万元，下降5.52</w:t>
      </w:r>
      <w:r>
        <w:rPr>
          <w:rFonts w:ascii="仿宋" w:hAnsi="仿宋" w:eastAsia="仿宋"/>
          <w:color w:val="000000"/>
          <w:sz w:val="32"/>
          <w:szCs w:val="32"/>
        </w:rPr>
        <w:t>%</w:t>
      </w:r>
      <w:r>
        <w:rPr>
          <w:rFonts w:hint="eastAsia" w:ascii="仿宋" w:hAnsi="仿宋" w:eastAsia="仿宋"/>
          <w:color w:val="000000"/>
          <w:sz w:val="32"/>
          <w:szCs w:val="32"/>
        </w:rPr>
        <w:t>。主要变动原因是</w:t>
      </w:r>
      <w:bookmarkStart w:id="36" w:name="_Toc15396607"/>
      <w:bookmarkStart w:id="37" w:name="_Toc15377209"/>
      <w:r>
        <w:rPr>
          <w:rFonts w:hint="eastAsia" w:ascii="仿宋" w:hAnsi="仿宋" w:eastAsia="仿宋"/>
          <w:color w:val="000000"/>
          <w:sz w:val="32"/>
          <w:szCs w:val="32"/>
        </w:rPr>
        <w:t>减少青年干部公寓设备购置等项目经费。</w:t>
      </w:r>
    </w:p>
    <w:p>
      <w:pPr>
        <w:spacing w:line="600" w:lineRule="exact"/>
        <w:ind w:firstLine="640"/>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9年一般公共预算财政拨款支出704.87万元，占本年支出合计的92.52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8年相比，一般公共预算财政拨款减少127.81万元，下降15.35</w:t>
      </w:r>
      <w:r>
        <w:rPr>
          <w:rFonts w:ascii="仿宋" w:hAnsi="仿宋" w:eastAsia="仿宋"/>
          <w:sz w:val="32"/>
          <w:szCs w:val="32"/>
        </w:rPr>
        <w:t>%</w:t>
      </w:r>
      <w:r>
        <w:rPr>
          <w:rFonts w:hint="eastAsia" w:ascii="仿宋" w:hAnsi="仿宋" w:eastAsia="仿宋"/>
          <w:sz w:val="32"/>
          <w:szCs w:val="32"/>
        </w:rPr>
        <w:t>。主要变动原因是减少办公用房维修、青年干部公寓设备购置等项目经费。</w:t>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9年一般公共预算财政拨款支出704.87万元，主要用于以下方面</w:t>
      </w:r>
      <w:r>
        <w:rPr>
          <w:rFonts w:ascii="仿宋" w:hAnsi="仿宋" w:eastAsia="仿宋"/>
          <w:sz w:val="32"/>
          <w:szCs w:val="32"/>
        </w:rPr>
        <w:t>:</w:t>
      </w:r>
      <w:r>
        <w:rPr>
          <w:rFonts w:hint="eastAsia" w:ascii="仿宋" w:hAnsi="仿宋" w:eastAsia="仿宋"/>
          <w:sz w:val="32"/>
          <w:szCs w:val="32"/>
        </w:rPr>
        <w:t>一般公共服务（类）支出685.6万元，占97.27</w:t>
      </w:r>
      <w:r>
        <w:rPr>
          <w:rFonts w:ascii="仿宋" w:hAnsi="仿宋" w:eastAsia="仿宋"/>
          <w:sz w:val="32"/>
          <w:szCs w:val="32"/>
        </w:rPr>
        <w:t>%</w:t>
      </w:r>
      <w:r>
        <w:rPr>
          <w:rFonts w:hint="eastAsia" w:ascii="仿宋" w:hAnsi="仿宋" w:eastAsia="仿宋"/>
          <w:sz w:val="32"/>
          <w:szCs w:val="32"/>
        </w:rPr>
        <w:t>；社会保障和就业（类）支出13.85万元，占1.96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卫生健康支出</w:t>
      </w:r>
      <w:r>
        <w:rPr>
          <w:rFonts w:hint="eastAsia" w:ascii="仿宋" w:hAnsi="仿宋" w:eastAsia="仿宋"/>
          <w:sz w:val="32"/>
          <w:szCs w:val="32"/>
        </w:rPr>
        <w:t>5.42万元，占0.77</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0" w:firstLineChars="200"/>
        <w:outlineLvl w:val="2"/>
        <w:rPr>
          <w:rFonts w:ascii="仿宋" w:hAnsi="仿宋" w:eastAsia="仿宋"/>
          <w:color w:val="FF0000"/>
          <w:sz w:val="32"/>
          <w:szCs w:val="32"/>
        </w:rPr>
      </w:pPr>
      <w:bookmarkStart w:id="41" w:name="_Toc15377213"/>
      <w:bookmarkStart w:id="42" w:name="_Toc15378460"/>
      <w:bookmarkStart w:id="43" w:name="_Toc15377444"/>
      <w:r>
        <w:rPr>
          <w:rFonts w:hint="eastAsia" w:ascii="仿宋" w:hAnsi="仿宋" w:eastAsia="仿宋"/>
          <w:color w:val="000000" w:themeColor="text1"/>
          <w:sz w:val="32"/>
          <w:szCs w:val="32"/>
        </w:rPr>
        <w:t>2019年一般公共预算支出决算数为704.86万元，</w:t>
      </w:r>
      <w:r>
        <w:rPr>
          <w:rStyle w:val="14"/>
          <w:rFonts w:hint="eastAsia" w:ascii="仿宋" w:hAnsi="仿宋" w:eastAsia="仿宋"/>
          <w:b w:val="0"/>
          <w:bCs/>
          <w:color w:val="000000" w:themeColor="text1"/>
          <w:sz w:val="32"/>
          <w:szCs w:val="32"/>
        </w:rPr>
        <w:t>完成</w:t>
      </w:r>
      <w:r>
        <w:rPr>
          <w:rStyle w:val="14"/>
          <w:rFonts w:hint="eastAsia" w:ascii="仿宋" w:hAnsi="仿宋" w:eastAsia="仿宋"/>
          <w:b w:val="0"/>
          <w:bCs/>
          <w:color w:val="000000"/>
          <w:sz w:val="32"/>
          <w:szCs w:val="32"/>
        </w:rPr>
        <w:t>预算82.72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41"/>
      <w:bookmarkEnd w:id="42"/>
      <w:bookmarkEnd w:id="43"/>
    </w:p>
    <w:p>
      <w:pPr>
        <w:spacing w:line="600" w:lineRule="exact"/>
        <w:ind w:firstLine="640" w:firstLineChars="200"/>
        <w:rPr>
          <w:rFonts w:ascii="仿宋" w:hAnsi="仿宋" w:eastAsia="仿宋"/>
          <w:color w:val="000000"/>
          <w:sz w:val="32"/>
          <w:szCs w:val="32"/>
        </w:rPr>
      </w:pPr>
      <w:r>
        <w:rPr>
          <w:rStyle w:val="14"/>
          <w:rFonts w:ascii="仿宋" w:hAnsi="仿宋" w:eastAsia="仿宋"/>
          <w:b w:val="0"/>
          <w:bCs/>
          <w:color w:val="000000"/>
          <w:sz w:val="32"/>
          <w:szCs w:val="32"/>
        </w:rPr>
        <w:t>1.</w:t>
      </w:r>
      <w:r>
        <w:rPr>
          <w:rStyle w:val="14"/>
          <w:rFonts w:hint="eastAsia" w:ascii="仿宋" w:hAnsi="仿宋" w:eastAsia="仿宋"/>
          <w:b w:val="0"/>
          <w:bCs/>
          <w:color w:val="000000"/>
          <w:sz w:val="32"/>
          <w:szCs w:val="32"/>
        </w:rPr>
        <w:t>一般公共服务（类）政府办公厅（室）（款）行政运行（项）及</w:t>
      </w:r>
      <w:r>
        <w:rPr>
          <w:rFonts w:hint="eastAsia" w:ascii="仿宋" w:hAnsi="仿宋" w:eastAsia="仿宋"/>
          <w:bCs/>
          <w:color w:val="000000"/>
          <w:sz w:val="32"/>
          <w:szCs w:val="32"/>
        </w:rPr>
        <w:t>一般行政管理事务（项）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685.60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80.46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行政运行支出</w:t>
      </w:r>
      <w:r>
        <w:rPr>
          <w:rStyle w:val="14"/>
          <w:rFonts w:hint="eastAsia" w:ascii="仿宋" w:hAnsi="仿宋" w:eastAsia="仿宋"/>
          <w:b w:val="0"/>
          <w:bCs/>
          <w:color w:val="000000"/>
          <w:sz w:val="32"/>
          <w:szCs w:val="32"/>
          <w:lang w:val="en-US" w:eastAsia="zh-CN"/>
        </w:rPr>
        <w:t>198.81</w:t>
      </w:r>
      <w:r>
        <w:rPr>
          <w:rStyle w:val="14"/>
          <w:rFonts w:hint="eastAsia" w:ascii="仿宋" w:hAnsi="仿宋" w:eastAsia="仿宋"/>
          <w:b w:val="0"/>
          <w:bCs/>
          <w:color w:val="000000"/>
          <w:sz w:val="32"/>
          <w:szCs w:val="32"/>
        </w:rPr>
        <w:t>万元，一般行政管理事务支出486.79万元。</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bCs/>
          <w:color w:val="000000"/>
          <w:sz w:val="32"/>
          <w:szCs w:val="32"/>
        </w:rPr>
        <w:t>2</w:t>
      </w:r>
      <w:r>
        <w:rPr>
          <w:rStyle w:val="14"/>
          <w:rFonts w:ascii="仿宋" w:hAnsi="仿宋" w:eastAsia="仿宋"/>
          <w:b w:val="0"/>
          <w:bCs/>
          <w:color w:val="000000"/>
          <w:sz w:val="32"/>
          <w:szCs w:val="32"/>
        </w:rPr>
        <w:t>.</w:t>
      </w:r>
      <w:r>
        <w:rPr>
          <w:rFonts w:hint="eastAsia"/>
        </w:rPr>
        <w:t xml:space="preserve"> </w:t>
      </w:r>
      <w:r>
        <w:rPr>
          <w:rStyle w:val="14"/>
          <w:rFonts w:hint="eastAsia" w:ascii="仿宋" w:hAnsi="仿宋" w:eastAsia="仿宋"/>
          <w:b w:val="0"/>
          <w:bCs/>
          <w:color w:val="000000"/>
          <w:sz w:val="32"/>
          <w:szCs w:val="32"/>
        </w:rPr>
        <w:t>社会保障和就业支出（类）行政事业单位养老保险支出（款）机关事业单位基本养老保险缴费支出（项）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支出决算为13.85万元，完成预算100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bCs/>
          <w:color w:val="000000"/>
          <w:sz w:val="32"/>
          <w:szCs w:val="32"/>
        </w:rPr>
        <w:t>3</w:t>
      </w:r>
      <w:r>
        <w:rPr>
          <w:rStyle w:val="14"/>
          <w:rFonts w:ascii="仿宋" w:hAnsi="仿宋" w:eastAsia="仿宋"/>
          <w:b w:val="0"/>
          <w:bCs/>
          <w:color w:val="000000"/>
          <w:sz w:val="32"/>
          <w:szCs w:val="32"/>
        </w:rPr>
        <w:t>.</w:t>
      </w:r>
      <w:r>
        <w:rPr>
          <w:rFonts w:hint="eastAsia" w:ascii="仿宋" w:hAnsi="仿宋" w:eastAsia="仿宋" w:cs="仿宋"/>
          <w:sz w:val="32"/>
          <w:szCs w:val="32"/>
        </w:rPr>
        <w:t xml:space="preserve"> 卫</w:t>
      </w:r>
      <w:r>
        <w:rPr>
          <w:rFonts w:hint="eastAsia" w:ascii="仿宋" w:hAnsi="仿宋" w:eastAsia="仿宋"/>
          <w:bCs/>
          <w:color w:val="000000" w:themeColor="text1"/>
          <w:sz w:val="32"/>
          <w:szCs w:val="32"/>
        </w:rPr>
        <w:t>生健康支出（类）行政事业单位医疗（款）事业单位医疗（项）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支出决算为5.42万元，完成预算100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4"/>
      <w:bookmarkEnd w:id="45"/>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9年一般公共预算财政拨款基本支出218.08万元，其中：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181.19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36.89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9年“三公”经费财政拨款支出决算为238.28万元，完成预算89.82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，决算数小于预算数的主要原因是我中心继续认真贯彻落实中央“八项规定”和省、市“厉行节约”相关规定，进一步加强“三公”经费管理。</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；公务用车购置及运行维护费支出决算236.46万元，占99.24</w:t>
      </w:r>
      <w:r>
        <w:rPr>
          <w:rFonts w:ascii="仿宋" w:hAnsi="仿宋" w:eastAsia="仿宋"/>
          <w:color w:val="000000"/>
          <w:sz w:val="32"/>
          <w:szCs w:val="32"/>
        </w:rPr>
        <w:t>%</w:t>
      </w:r>
      <w:r>
        <w:rPr>
          <w:rFonts w:hint="eastAsia" w:ascii="仿宋" w:hAnsi="仿宋" w:eastAsia="仿宋"/>
          <w:color w:val="000000"/>
          <w:sz w:val="32"/>
          <w:szCs w:val="32"/>
        </w:rPr>
        <w:t>；公务接待费支出决算1.82万元，占0.76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因公出国（境）经费支出0万元，</w:t>
      </w:r>
      <w:r>
        <w:rPr>
          <w:rStyle w:val="14"/>
          <w:rFonts w:hint="eastAsia" w:ascii="仿宋" w:hAnsi="仿宋" w:eastAsia="仿宋"/>
          <w:bCs/>
          <w:color w:val="000000"/>
          <w:sz w:val="32"/>
          <w:szCs w:val="32"/>
        </w:rPr>
        <w:t>完成预算0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公务用车购置及运行维护费支出236.46万元,</w:t>
      </w:r>
      <w:r>
        <w:rPr>
          <w:rStyle w:val="14"/>
          <w:rFonts w:hint="eastAsia" w:ascii="仿宋" w:hAnsi="仿宋" w:eastAsia="仿宋"/>
          <w:b w:val="0"/>
          <w:bCs/>
          <w:color w:val="000000"/>
          <w:sz w:val="32"/>
          <w:szCs w:val="32"/>
        </w:rPr>
        <w:t>完成预算90.5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8年减少23.87万元，下降9.17</w:t>
      </w:r>
      <w:r>
        <w:rPr>
          <w:rFonts w:ascii="仿宋_GB2312" w:eastAsia="仿宋_GB2312"/>
          <w:color w:val="000000"/>
          <w:sz w:val="32"/>
          <w:szCs w:val="32"/>
        </w:rPr>
        <w:t>%</w:t>
      </w:r>
      <w:r>
        <w:rPr>
          <w:rFonts w:hint="eastAsia" w:ascii="仿宋_GB2312" w:eastAsia="仿宋_GB2312"/>
          <w:color w:val="000000"/>
          <w:sz w:val="32"/>
          <w:szCs w:val="32"/>
        </w:rPr>
        <w:t>。主要原因是进一步加强了公务用车管理。</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其中：公务用车购置支出0万元。全年按规定更新购置公务用车0辆，金额0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月底，单位共有公务用车41辆，其中：主要领导干部用车0辆、机要通信用车0辆、应急保障用车41辆、 执法执勤用车0辆。</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公务用车运行维护费支出236.46万元。主要用于</w:t>
      </w:r>
      <w:r>
        <w:rPr>
          <w:rFonts w:hint="eastAsia" w:ascii="仿宋_GB2312" w:eastAsia="仿宋_GB2312"/>
          <w:sz w:val="32"/>
          <w:szCs w:val="32"/>
        </w:rPr>
        <w:t>保障应急公务出行所需的公</w:t>
      </w:r>
      <w:r>
        <w:rPr>
          <w:rFonts w:hint="eastAsia" w:ascii="仿宋_GB2312" w:eastAsia="仿宋_GB2312"/>
          <w:color w:val="000000"/>
          <w:sz w:val="32"/>
          <w:szCs w:val="32"/>
        </w:rPr>
        <w:t>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公务接待费支出1.82万元，</w:t>
      </w:r>
      <w:r>
        <w:rPr>
          <w:rStyle w:val="14"/>
          <w:rFonts w:hint="eastAsia" w:ascii="仿宋" w:hAnsi="仿宋" w:eastAsia="仿宋"/>
          <w:b w:val="0"/>
          <w:bCs/>
          <w:color w:val="000000"/>
          <w:sz w:val="32"/>
          <w:szCs w:val="32"/>
        </w:rPr>
        <w:t>完成预算45.5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8年减少2.14万元，下降54.04</w:t>
      </w:r>
      <w:r>
        <w:rPr>
          <w:rFonts w:ascii="仿宋_GB2312" w:eastAsia="仿宋_GB2312"/>
          <w:color w:val="000000"/>
          <w:sz w:val="32"/>
          <w:szCs w:val="32"/>
        </w:rPr>
        <w:t>%</w:t>
      </w:r>
      <w:r>
        <w:rPr>
          <w:rFonts w:hint="eastAsia" w:ascii="仿宋_GB2312" w:eastAsia="仿宋_GB2312"/>
          <w:color w:val="000000"/>
          <w:sz w:val="32"/>
          <w:szCs w:val="32"/>
        </w:rPr>
        <w:t>。主要原因是我中心继续认真贯彻落实中央“八项规定”和省、市“厉行节约”相关规定，进一步加强“三公”经费管理。其中：</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国内公务接待支出1.82</w:t>
      </w:r>
      <w:r>
        <w:rPr>
          <w:rFonts w:hint="eastAsia" w:ascii="仿宋_GB2312" w:eastAsia="仿宋_GB2312"/>
          <w:color w:val="000000"/>
          <w:sz w:val="32"/>
          <w:szCs w:val="32"/>
        </w:rPr>
        <w:t>万元，主要用于各兄弟城市单位到我中心交流考察产生的公务接待费。国内公务接待10批次，150人次（不包括陪同人员），共计支出1.82万元，具体内容包括接待省机关事务管理局主管部门、甘肃省庆阳市等兄弟单位来广交流与调研。通过交流活动，进一步深化了主管部门、兄弟单位对广扶贫产品等宣传影响力。</w:t>
      </w:r>
    </w:p>
    <w:p>
      <w:pPr>
        <w:spacing w:line="600" w:lineRule="exact"/>
        <w:ind w:firstLine="640" w:firstLineChars="200"/>
        <w:rPr>
          <w:rFonts w:ascii="仿宋_GB2312" w:eastAsia="仿宋_GB2312"/>
          <w:color w:val="000000" w:themeColor="text1"/>
          <w:sz w:val="32"/>
          <w:szCs w:val="32"/>
        </w:rPr>
      </w:pPr>
      <w:r>
        <w:rPr>
          <w:rFonts w:hint="eastAsia" w:ascii="仿宋" w:hAnsi="仿宋" w:eastAsia="仿宋"/>
          <w:color w:val="000000"/>
          <w:sz w:val="32"/>
          <w:szCs w:val="32"/>
        </w:rPr>
        <w:t>外事接待支出0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50" w:name="_Toc15377218"/>
      <w:bookmarkStart w:id="51"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广元市机关事务服务</w:t>
      </w:r>
      <w:r>
        <w:rPr>
          <w:rFonts w:hint="eastAsia" w:ascii="仿宋_GB2312" w:eastAsia="仿宋_GB2312"/>
          <w:color w:val="000000"/>
          <w:sz w:val="32"/>
          <w:szCs w:val="32"/>
          <w:lang w:eastAsia="zh-CN"/>
        </w:rPr>
        <w:t>中心</w:t>
      </w: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2"/>
        </w:numPr>
        <w:spacing w:line="600" w:lineRule="exact"/>
        <w:ind w:firstLine="640"/>
        <w:outlineLvl w:val="1"/>
        <w:rPr>
          <w:rStyle w:val="25"/>
          <w:rFonts w:ascii="黑体" w:hAnsi="黑体" w:eastAsia="黑体"/>
          <w:b w:val="0"/>
        </w:rPr>
      </w:pPr>
      <w:bookmarkStart w:id="52" w:name="_Toc15377219"/>
      <w:bookmarkStart w:id="53" w:name="_Toc15396611"/>
      <w:r>
        <w:rPr>
          <w:rStyle w:val="25"/>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广元市机关事务服务中心</w:t>
      </w: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5"/>
          <w:rFonts w:ascii="黑体" w:hAnsi="黑体" w:eastAsia="黑体"/>
        </w:rPr>
      </w:pPr>
      <w:bookmarkStart w:id="54" w:name="_Toc15377221"/>
      <w:bookmarkStart w:id="55"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4"/>
      <w:bookmarkEnd w:id="55"/>
    </w:p>
    <w:p>
      <w:pPr>
        <w:spacing w:line="600" w:lineRule="exact"/>
        <w:ind w:firstLine="640" w:firstLineChars="200"/>
        <w:outlineLvl w:val="2"/>
        <w:rPr>
          <w:rFonts w:ascii="楷体" w:hAnsi="楷体" w:eastAsia="楷体"/>
          <w:color w:val="000000"/>
          <w:sz w:val="32"/>
          <w:szCs w:val="32"/>
        </w:rPr>
      </w:pPr>
      <w:bookmarkStart w:id="56" w:name="_Toc15377222"/>
      <w:r>
        <w:rPr>
          <w:rFonts w:hint="eastAsia" w:ascii="楷体" w:hAnsi="楷体" w:eastAsia="楷体"/>
          <w:color w:val="000000"/>
          <w:sz w:val="32"/>
          <w:szCs w:val="32"/>
        </w:rPr>
        <w:t>（一）机关运行经费支出情况</w:t>
      </w:r>
      <w:bookmarkEnd w:id="56"/>
      <w:r>
        <w:rPr>
          <w:rFonts w:hint="eastAsia" w:ascii="楷体" w:hAnsi="楷体" w:eastAsia="楷体"/>
          <w:color w:val="000000"/>
          <w:sz w:val="32"/>
          <w:szCs w:val="32"/>
        </w:rPr>
        <w:t>。</w:t>
      </w:r>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9年，广元市机关事务服务中心机关运行经费支出36.89万元，比</w:t>
      </w:r>
      <w:r>
        <w:rPr>
          <w:rFonts w:ascii="仿宋_GB2312" w:eastAsia="仿宋_GB2312"/>
          <w:color w:val="000000"/>
          <w:sz w:val="32"/>
          <w:szCs w:val="32"/>
        </w:rPr>
        <w:t>201</w:t>
      </w:r>
      <w:r>
        <w:rPr>
          <w:rFonts w:hint="eastAsia" w:ascii="仿宋_GB2312" w:eastAsia="仿宋_GB2312"/>
          <w:color w:val="000000"/>
          <w:sz w:val="32"/>
          <w:szCs w:val="32"/>
        </w:rPr>
        <w:t>8年增加2.54万元，增长7.39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主要原因是机构改革后人员增加，机关运行成本增加。</w:t>
      </w:r>
    </w:p>
    <w:p>
      <w:pPr>
        <w:autoSpaceDE w:val="0"/>
        <w:autoSpaceDN w:val="0"/>
        <w:adjustRightInd w:val="0"/>
        <w:spacing w:line="600" w:lineRule="exact"/>
        <w:ind w:firstLine="640" w:firstLineChars="200"/>
        <w:jc w:val="left"/>
        <w:outlineLvl w:val="2"/>
        <w:rPr>
          <w:rFonts w:ascii="楷体" w:hAnsi="楷体" w:eastAsia="楷体"/>
          <w:color w:val="000000"/>
          <w:sz w:val="32"/>
          <w:szCs w:val="32"/>
        </w:rPr>
      </w:pPr>
      <w:bookmarkStart w:id="57" w:name="_Toc15377223"/>
      <w:r>
        <w:rPr>
          <w:rFonts w:hint="eastAsia" w:ascii="楷体" w:hAnsi="楷体" w:eastAsia="楷体"/>
          <w:color w:val="000000"/>
          <w:sz w:val="32"/>
          <w:szCs w:val="32"/>
        </w:rPr>
        <w:t>（二）政府采购支出情况</w:t>
      </w:r>
      <w:bookmarkEnd w:id="57"/>
      <w:r>
        <w:rPr>
          <w:rFonts w:hint="eastAsia" w:ascii="楷体" w:hAnsi="楷体" w:eastAsia="楷体"/>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9年，广元市机关事务服务中心政府采购支出总额13.99万元，其中：政府采购货物支出13.99万元、政府采购工程支出0万元、政府采购服务支出0万元。主要用于</w:t>
      </w:r>
      <w:r>
        <w:rPr>
          <w:rFonts w:hint="eastAsia" w:ascii="仿宋_GB2312" w:eastAsia="仿宋_GB2312"/>
          <w:color w:val="000000"/>
          <w:sz w:val="32"/>
          <w:szCs w:val="32"/>
          <w:lang w:eastAsia="zh-CN"/>
        </w:rPr>
        <w:t>全市重大活动与市级机关公物仓</w:t>
      </w:r>
      <w:r>
        <w:rPr>
          <w:rFonts w:hint="eastAsia" w:ascii="仿宋_GB2312" w:eastAsia="仿宋_GB2312"/>
          <w:color w:val="000000"/>
          <w:sz w:val="32"/>
          <w:szCs w:val="32"/>
        </w:rPr>
        <w:t>设备</w:t>
      </w:r>
      <w:r>
        <w:rPr>
          <w:rFonts w:hint="eastAsia" w:ascii="仿宋_GB2312" w:eastAsia="仿宋_GB2312"/>
          <w:color w:val="000000"/>
          <w:sz w:val="32"/>
          <w:szCs w:val="32"/>
          <w:lang w:eastAsia="zh-CN"/>
        </w:rPr>
        <w:t>采购</w:t>
      </w:r>
      <w:r>
        <w:rPr>
          <w:rFonts w:hint="eastAsia" w:ascii="仿宋_GB2312" w:eastAsia="仿宋_GB2312"/>
          <w:color w:val="000000"/>
          <w:sz w:val="32"/>
          <w:szCs w:val="32"/>
        </w:rPr>
        <w:t>支出。授予中小企业合同金额13.99万元，占政府采购支出总额的100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，其中：授予小微企业合同金额13.99万元，占政府采购支出总额的100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outlineLvl w:val="2"/>
        <w:rPr>
          <w:rFonts w:ascii="楷体" w:hAnsi="楷体" w:eastAsia="楷体"/>
          <w:color w:val="000000"/>
          <w:sz w:val="32"/>
          <w:szCs w:val="32"/>
        </w:rPr>
      </w:pPr>
      <w:bookmarkStart w:id="58" w:name="_Toc15377224"/>
      <w:r>
        <w:rPr>
          <w:rFonts w:hint="eastAsia" w:ascii="楷体" w:hAnsi="楷体" w:eastAsia="楷体"/>
          <w:color w:val="000000"/>
          <w:sz w:val="32"/>
          <w:szCs w:val="32"/>
        </w:rPr>
        <w:t>（三）国有资产占有使用情况</w:t>
      </w:r>
      <w:bookmarkEnd w:id="58"/>
      <w:r>
        <w:rPr>
          <w:rFonts w:hint="eastAsia" w:ascii="楷体" w:hAnsi="楷体" w:eastAsia="楷体"/>
          <w:color w:val="000000"/>
          <w:sz w:val="32"/>
          <w:szCs w:val="32"/>
        </w:rPr>
        <w:t>。</w:t>
      </w:r>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日，广元市机关事务服务中心共有车辆41辆，其中：主要领导干部用车0辆、机要通信用车0辆、应急保障用车41辆、其他用车0辆。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0" w:firstLineChars="200"/>
        <w:jc w:val="left"/>
        <w:outlineLvl w:val="2"/>
        <w:rPr>
          <w:rFonts w:ascii="楷体" w:hAnsi="楷体" w:eastAsia="楷体"/>
          <w:color w:val="000000"/>
          <w:sz w:val="32"/>
          <w:szCs w:val="32"/>
        </w:rPr>
      </w:pPr>
      <w:r>
        <w:rPr>
          <w:rFonts w:hint="eastAsia" w:ascii="楷体" w:hAnsi="楷体" w:eastAsia="楷体"/>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根据预算绩效管理要求，本部门（单位）在年初预算编制阶段，组织对2个项目编制了绩效目标，预算执行过程中，选取2个项目开展绩效监控，年终执行完毕后，对2个项目开展了绩效目标完成情况自评。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严格按照绩效管理要求编制项目支出绩效目标，在数量、质量、成本、时效、效益等方面设置指标，要素较为完整；预算执行过程中，支出控制良好；预算完成情况较好，无违纪违规问题。全年支出保证了单位的正常运转，基本保证机关事务工作的开展。但预算编制的准确性一级预算执行进度的把控还需要进一步提升。本部门无专项预算项目，因此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项目绩效目标完成情况。本部门在2019年度部门决算中反映“公车运行及维护费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“非税收入征收成本支出”2个项目绩效目标实际完成情况。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（1）公车运行及维护费项目绩效目标完成情况综述。项目全年预算数</w:t>
      </w:r>
      <w:r>
        <w:rPr>
          <w:rFonts w:hint="eastAsia" w:ascii="仿宋_GB2312" w:hAnsi="仿宋_GB2312" w:eastAsia="仿宋_GB2312" w:cs="仿宋_GB2312"/>
          <w:sz w:val="32"/>
          <w:szCs w:val="32"/>
          <w:lang w:val="en-US" w:eastAsia="zh-CN"/>
        </w:rPr>
        <w:t>261.28</w:t>
      </w:r>
      <w:r>
        <w:rPr>
          <w:rFonts w:hint="eastAsia" w:ascii="仿宋_GB2312" w:hAnsi="仿宋_GB2312" w:eastAsia="仿宋_GB2312" w:cs="仿宋_GB2312"/>
          <w:sz w:val="32"/>
          <w:szCs w:val="32"/>
        </w:rPr>
        <w:t>万元，执行数为236.46万元，完成预算的9</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通过项目实施，保障应急出行单位用车需要，推动广元市直机关公务出行发展，形成了稳定健康的长效机制。发现的主要问题：一是公务用车运行及维护经费不足；二是部分车辆车龄长，车况差。下一步改进措施：一是积极争取经费，加强与财政部门联系沟通；二是加强车辆维修、保养、管理水平，加强驾驶员安全教育，保证安全行驶，保持车辆整洁干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非税收入征收成本项目绩效目标完成情况综述。项目全年预算数110万元，执行数为40.27万元，完成预算的36.61%。通过项目实施，保障了全市重大活动，全年无安全事故发生。发现的主要问题：2019年机构职能和人员变化较大，导致部门业务未能如期开展，预算执行进度较慢。剩余专项资金已收归财政。下一步改进措施：在编制绩效目标时，提高数量指标测算，同时加强项目执行进度监管。</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公车运行及维护费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广元市机关事务服务中心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261.28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236.46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261.28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236.46</w:t>
            </w:r>
          </w:p>
        </w:tc>
      </w:tr>
      <w:tr>
        <w:tblPrEx>
          <w:tblCellMar>
            <w:top w:w="0" w:type="dxa"/>
            <w:left w:w="0" w:type="dxa"/>
            <w:bottom w:w="0" w:type="dxa"/>
            <w:right w:w="0" w:type="dxa"/>
          </w:tblCellMar>
        </w:tblPrEx>
        <w:trPr>
          <w:trHeight w:val="48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2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2019年完成全市党政机关公务用车日常统筹，保障全市重大活动，全年无安全事故发生。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2019年完成全市党政机关公务用车日常统筹，保障全市重大活动，全年无安全事故发生。</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6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全市党政机关公务车辆日常运行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41辆公务车辆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41辆公务车辆</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按质按量完成党政机关公务车辆运行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全年无安全事故发生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全年无安全事故发生</w:t>
            </w:r>
          </w:p>
        </w:tc>
      </w:tr>
      <w:tr>
        <w:tblPrEx>
          <w:tblCellMar>
            <w:top w:w="0" w:type="dxa"/>
            <w:left w:w="0" w:type="dxa"/>
            <w:bottom w:w="0" w:type="dxa"/>
            <w:right w:w="0" w:type="dxa"/>
          </w:tblCellMar>
        </w:tblPrEx>
        <w:trPr>
          <w:trHeight w:val="72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日常运行运维费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236.46</w:t>
            </w:r>
          </w:p>
        </w:tc>
      </w:tr>
      <w:tr>
        <w:tblPrEx>
          <w:tblCellMar>
            <w:top w:w="0" w:type="dxa"/>
            <w:left w:w="0" w:type="dxa"/>
            <w:bottom w:w="0" w:type="dxa"/>
            <w:right w:w="0" w:type="dxa"/>
          </w:tblCellMar>
        </w:tblPrEx>
        <w:trPr>
          <w:trHeight w:val="39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日常平台运维费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15.28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15.28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2019年12月31日前</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市级部门满意率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非税收入征收成本支出</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广元市机关事务服务中心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40.27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40.27</w:t>
            </w:r>
          </w:p>
        </w:tc>
      </w:tr>
      <w:tr>
        <w:tblPrEx>
          <w:tblCellMar>
            <w:top w:w="0" w:type="dxa"/>
            <w:left w:w="0" w:type="dxa"/>
            <w:bottom w:w="0" w:type="dxa"/>
            <w:right w:w="0" w:type="dxa"/>
          </w:tblCellMar>
        </w:tblPrEx>
        <w:trPr>
          <w:trHeight w:val="48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2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2019年完成全市党政机关车辆日常运行，保障全市重大活动，全年无安全事故发生。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2019年完成全市党政机关车辆日常运行，保障全市重大活动，全年无安全事故发生。</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6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过渡保障中心车辆日常运行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44辆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44</w:t>
            </w:r>
          </w:p>
        </w:tc>
      </w:tr>
      <w:tr>
        <w:tblPrEx>
          <w:tblCellMar>
            <w:top w:w="0" w:type="dxa"/>
            <w:left w:w="0" w:type="dxa"/>
            <w:bottom w:w="0" w:type="dxa"/>
            <w:right w:w="0" w:type="dxa"/>
          </w:tblCellMar>
        </w:tblPrEx>
        <w:trPr>
          <w:trHeight w:val="56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青年干部公寓日常运行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20套</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按质按量完成党政机关公务车辆运行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全年无安全事故发生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全年无安全事故发生</w:t>
            </w:r>
          </w:p>
        </w:tc>
      </w:tr>
      <w:tr>
        <w:tblPrEx>
          <w:tblCellMar>
            <w:top w:w="0" w:type="dxa"/>
            <w:left w:w="0" w:type="dxa"/>
            <w:bottom w:w="0" w:type="dxa"/>
            <w:right w:w="0" w:type="dxa"/>
          </w:tblCellMar>
        </w:tblPrEx>
        <w:trPr>
          <w:trHeight w:val="72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非税收入征收成本支出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40.27</w:t>
            </w:r>
          </w:p>
        </w:tc>
      </w:tr>
      <w:tr>
        <w:tblPrEx>
          <w:tblCellMar>
            <w:top w:w="0" w:type="dxa"/>
            <w:left w:w="0" w:type="dxa"/>
            <w:bottom w:w="0" w:type="dxa"/>
            <w:right w:w="0" w:type="dxa"/>
          </w:tblCellMar>
        </w:tblPrEx>
        <w:trPr>
          <w:trHeight w:val="72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2019年12月31日前</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ind w:left="630"/>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广元市机关事务服务中心按要求对2019年部门整体支出绩效评价情况开展自评，《广元市机关事务服务中心2019年部门整体支出绩效评价报告》见附件。</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其他收入：指单位取得的除上述收入以外的各项收入。主要是其他政府办公厅（室）及相关机构事务支出。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 w:hAnsi="仿宋" w:eastAsia="仿宋" w:cs="仿宋"/>
          <w:sz w:val="32"/>
          <w:szCs w:val="32"/>
        </w:rPr>
        <w:t>一般公共服务支出(类)政府办公厅(室)行政运行（项）</w:t>
      </w:r>
      <w:r>
        <w:rPr>
          <w:rFonts w:hint="eastAsia" w:ascii="仿宋_GB2312" w:eastAsia="仿宋_GB2312"/>
          <w:color w:val="000000"/>
          <w:sz w:val="32"/>
          <w:szCs w:val="32"/>
        </w:rPr>
        <w:t>：指</w:t>
      </w:r>
      <w:r>
        <w:rPr>
          <w:rFonts w:hint="eastAsia" w:ascii="仿宋" w:hAnsi="仿宋" w:eastAsia="仿宋" w:cs="仿宋"/>
          <w:sz w:val="32"/>
          <w:szCs w:val="32"/>
        </w:rPr>
        <w:t>行政单位（包括实行公务员管理的事业单位）基本支出</w:t>
      </w:r>
      <w:r>
        <w:rPr>
          <w:rFonts w:hint="eastAsia" w:ascii="仿宋_GB2312" w:eastAsia="仿宋_GB2312"/>
          <w:color w:val="000000"/>
          <w:sz w:val="32"/>
          <w:szCs w:val="32"/>
        </w:rPr>
        <w:t>。</w:t>
      </w:r>
    </w:p>
    <w:p>
      <w:pPr>
        <w:spacing w:line="556" w:lineRule="exact"/>
        <w:ind w:firstLine="640" w:firstLineChars="200"/>
        <w:rPr>
          <w:rFonts w:ascii="仿宋" w:hAnsi="仿宋" w:eastAsia="仿宋" w:cs="仿宋"/>
          <w:sz w:val="32"/>
          <w:szCs w:val="32"/>
        </w:rPr>
      </w:pPr>
      <w:r>
        <w:rPr>
          <w:rFonts w:hint="eastAsia" w:ascii="仿宋_GB2312" w:eastAsia="仿宋_GB2312"/>
          <w:color w:val="000000"/>
          <w:sz w:val="32"/>
          <w:szCs w:val="32"/>
        </w:rPr>
        <w:t>6.社会保障和就业支出(类)行政事业单位养老支出(款)机关事业单位基本养老保险缴费支出(项):指</w:t>
      </w:r>
      <w:r>
        <w:rPr>
          <w:rFonts w:hint="eastAsia" w:ascii="仿宋" w:hAnsi="仿宋" w:eastAsia="仿宋" w:cs="仿宋"/>
          <w:sz w:val="32"/>
          <w:szCs w:val="32"/>
        </w:rPr>
        <w:t>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7.卫生健康支出(类)行政事业单位医疗(款)事业单位医疗(项):指财政部门安排的事业单位基本医疗保险缴费经费,未参加医疗保险的事业单位的公费医疗经费。</w:t>
      </w:r>
    </w:p>
    <w:p>
      <w:pPr>
        <w:spacing w:line="55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bookmarkStart w:id="61" w:name="_Toc15396614"/>
      <w:bookmarkStart w:id="62"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61"/>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rPr>
        <w:t>广元市机关事务服务中</w:t>
      </w:r>
      <w:r>
        <w:rPr>
          <w:rFonts w:hint="eastAsia" w:ascii="方正小标宋简体" w:hAnsi="宋体" w:eastAsia="方正小标宋简体"/>
          <w:color w:val="000000"/>
          <w:kern w:val="0"/>
          <w:sz w:val="40"/>
          <w:szCs w:val="44"/>
          <w:lang w:eastAsia="zh-CN"/>
        </w:rPr>
        <w:t>心</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（一）机构组成。本单位为一级预算单位，中心内设机构4个，下属其他事业单位1个。</w:t>
      </w:r>
    </w:p>
    <w:p>
      <w:pPr>
        <w:spacing w:line="556" w:lineRule="exact"/>
        <w:ind w:firstLine="645"/>
        <w:rPr>
          <w:rFonts w:ascii="仿宋" w:hAnsi="仿宋" w:eastAsia="仿宋" w:cs="仿宋"/>
          <w:bCs/>
          <w:sz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cs="仿宋"/>
          <w:sz w:val="32"/>
          <w:szCs w:val="32"/>
        </w:rPr>
        <w:t>承担市级公务用车管理涉及的事务性工作；承担市直机关事业单位办公用房建设和维修有关事项；协助有关部门统一规划、权属、配置、处置市直机关事业单位办公用房；负责拟定市直机关事业单位房屋修缮计划；负责市直机关事业单位房地产信息管理平台建设、运维工作；承担全市公共机构能耗统计、检测工作；协助有关部门统筹推进市直机关事业单位公共机构生活垃圾强制分类工作；参与市直机关事业单位住房制度改革有关工作；承担市交流干部周转房和市青年干部公寓的管理、维修、维护等工作；负责市级机关事业单位集中办公区有关后勤服务工作；负责县区机关事务的业务指导工作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2019年广元市机关事务服务中心（含下属单位）事业编制15个，其中参照公务员法管理事业人员编制数8个，其他事业编制7个。截至2019年12月31日，实有在职人员12人，其中参公人员5人，其他事业人员7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600" w:lineRule="exact"/>
        <w:ind w:firstLine="640"/>
        <w:rPr>
          <w:rFonts w:ascii="仿宋" w:hAnsi="仿宋" w:eastAsia="仿宋"/>
          <w:color w:val="000000"/>
          <w:sz w:val="32"/>
          <w:szCs w:val="32"/>
        </w:rPr>
      </w:pPr>
      <w:r>
        <w:rPr>
          <w:rFonts w:hint="eastAsia" w:ascii="仿宋_GB2312" w:hAnsi="宋体" w:eastAsia="仿宋_GB2312" w:cs="宋体"/>
          <w:color w:val="000000"/>
          <w:kern w:val="0"/>
          <w:sz w:val="32"/>
          <w:szCs w:val="32"/>
          <w:shd w:val="clear" w:color="auto" w:fill="FFFFFF"/>
          <w:lang w:val="zh-CN"/>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sz w:val="32"/>
          <w:szCs w:val="32"/>
        </w:rPr>
        <w:t>852.13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8年相比，财政拨款收、支总计各减少49.76万元，下降5.52</w:t>
      </w:r>
      <w:r>
        <w:rPr>
          <w:rFonts w:ascii="仿宋" w:hAnsi="仿宋" w:eastAsia="仿宋"/>
          <w:color w:val="000000"/>
          <w:sz w:val="32"/>
          <w:szCs w:val="32"/>
        </w:rPr>
        <w:t>%</w:t>
      </w:r>
      <w:r>
        <w:rPr>
          <w:rFonts w:hint="eastAsia" w:ascii="仿宋" w:hAnsi="仿宋" w:eastAsia="仿宋"/>
          <w:color w:val="000000"/>
          <w:sz w:val="32"/>
          <w:szCs w:val="32"/>
        </w:rPr>
        <w:t>。主要变动原因是减少青年干部公寓设备购置等项目经费。</w:t>
      </w:r>
    </w:p>
    <w:p>
      <w:pPr>
        <w:spacing w:line="600" w:lineRule="exact"/>
        <w:ind w:firstLine="640" w:firstLineChars="200"/>
        <w:rPr>
          <w:rFonts w:ascii="仿宋" w:hAnsi="仿宋" w:eastAsia="仿宋"/>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sz w:val="32"/>
          <w:szCs w:val="32"/>
        </w:rPr>
        <w:t>201</w:t>
      </w:r>
      <w:r>
        <w:rPr>
          <w:rFonts w:hint="eastAsia" w:ascii="仿宋" w:hAnsi="仿宋" w:eastAsia="仿宋"/>
          <w:sz w:val="32"/>
          <w:szCs w:val="32"/>
        </w:rPr>
        <w:t>9年一般公共预算财政拨款支出704.87万元，占本年支出合计的92.52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8年相比，一般公共预算财政拨款减少127.81万元，下降15.35</w:t>
      </w:r>
      <w:r>
        <w:rPr>
          <w:rFonts w:ascii="仿宋" w:hAnsi="仿宋" w:eastAsia="仿宋"/>
          <w:sz w:val="32"/>
          <w:szCs w:val="32"/>
        </w:rPr>
        <w:t>%</w:t>
      </w:r>
      <w:r>
        <w:rPr>
          <w:rFonts w:hint="eastAsia" w:ascii="仿宋" w:hAnsi="仿宋" w:eastAsia="仿宋"/>
          <w:sz w:val="32"/>
          <w:szCs w:val="32"/>
        </w:rPr>
        <w:t>。主要变动原因是减少办公用房维修、青年干部公寓设备购置等项目经费。</w:t>
      </w:r>
    </w:p>
    <w:p>
      <w:pPr>
        <w:spacing w:line="600" w:lineRule="exact"/>
        <w:ind w:firstLine="64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广元市机关事务服务中心认真落实市委、市政府的决策部署，严格按照相关政策规定编制预算。按照“优先保障、严格标准、综合预算”的要求，根据定员情况和国家、省、市确定的工资、津贴补贴、社会保障等相关政策计算编制人员支出预算；按照“综合预算、定额管理”的要求，根据定员情况、职能职责和事业发展需要综合编制日常公用支出预算；根据市委、市政府确定的经济社会发展规划、部门职责及事业发展规划等要求，严格按照预算绩效管理要求编制项目支出绩效目标，在数量、质量、成本、时效、效益等方面合理细化、量化绩效目标，科学准确编制项目支出预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中心严格按市财政局要求开展本部门预算执行动态监控、中期评估、绩效跟踪监控管理工作，主动开展日常预算执行监控，随时关注各项目执行进度，定期向中心领导汇报预算执行进度，对重大项目实行全程跟踪监控；针对执行进度较慢的项目积极查找原因，督促预算执行。</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通过加强预算动态管理，不断建立健全内部管理制度，梳理内部管理流程，部门整体支出管理情况得到有效提升。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bookmarkStart w:id="77" w:name="_GoBack"/>
      <w:r>
        <w:rPr>
          <w:rFonts w:hint="eastAsia" w:ascii="仿宋_GB2312" w:hAnsi="宋体" w:eastAsia="仿宋_GB2312" w:cs="宋体"/>
          <w:color w:val="000000"/>
          <w:kern w:val="0"/>
          <w:sz w:val="32"/>
          <w:szCs w:val="32"/>
          <w:shd w:val="clear" w:color="auto" w:fill="FFFFFF"/>
          <w:lang w:val="zh-CN"/>
        </w:rPr>
        <w:t>（一）评价结论。2019年，我中心部门整体支出绩效评价自查自评结果良好，全年基本支出保证了部门的正常运行和日常工作的正常开展，项目支出保障了机关服务重点业务工作的开展，基本达到预期绩效目标。</w:t>
      </w:r>
    </w:p>
    <w:bookmarkEnd w:id="77"/>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（二）存在问题。预算编制不够准确，绩效目标编制指标设置不够科学，在预算执行过程中，因主客观因素导致预算执行进度较慢。</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一是进一步加强业务科室与财务部门的沟通协调，按照全年工作计划，统筹考虑项目绩效完成情况，科学设定绩效目标指标值，对重大项目进行客观分析，提高预算编制完整性、科学性和准确性；二是要严格预算执行规范化，加强预算执行监控，提高财政资金使用绩效。</w:t>
      </w:r>
    </w:p>
    <w:p>
      <w:pPr>
        <w:spacing w:line="600" w:lineRule="exact"/>
        <w:outlineLvl w:val="0"/>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63"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62"/>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Style w:val="25"/>
          <w:rFonts w:ascii="仿宋" w:hAnsi="仿宋" w:eastAsia="仿宋"/>
          <w:b w:val="0"/>
          <w:bCs w:val="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8"/>
      <w:bookmarkStart w:id="69"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1627"/>
      <w:docPartObj>
        <w:docPartGallery w:val="autotext"/>
      </w:docPartObj>
    </w:sdtPr>
    <w:sdtEndPr>
      <w:rPr>
        <w:rFonts w:asciiTheme="minorEastAsia" w:hAnsiTheme="minorEastAsia" w:eastAsiaTheme="minorEastAsia"/>
        <w:sz w:val="28"/>
        <w:szCs w:val="28"/>
      </w:rPr>
    </w:sdtEndPr>
    <w:sdtContent>
      <w:p>
        <w:pPr>
          <w:pStyle w:val="8"/>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1618"/>
      <w:docPartObj>
        <w:docPartGallery w:val="autotext"/>
      </w:docPartObj>
    </w:sdtPr>
    <w:sdtEndPr>
      <w:rPr>
        <w:rFonts w:asciiTheme="minorEastAsia" w:hAnsiTheme="minorEastAsia" w:eastAsiaTheme="minorEastAsia"/>
        <w:sz w:val="28"/>
        <w:szCs w:val="28"/>
      </w:rPr>
    </w:sdtEndPr>
    <w:sdtContent>
      <w:p>
        <w:pPr>
          <w:pStyle w:val="8"/>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heme="minorEastAsia" w:hAnsiTheme="minorEastAsia" w:eastAsia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17D"/>
    <w:rsid w:val="000222C6"/>
    <w:rsid w:val="0002549F"/>
    <w:rsid w:val="000468DB"/>
    <w:rsid w:val="000516A6"/>
    <w:rsid w:val="0006487A"/>
    <w:rsid w:val="00065F8F"/>
    <w:rsid w:val="00070A43"/>
    <w:rsid w:val="0007197F"/>
    <w:rsid w:val="000768F2"/>
    <w:rsid w:val="000904BF"/>
    <w:rsid w:val="0009184B"/>
    <w:rsid w:val="00094236"/>
    <w:rsid w:val="0009593C"/>
    <w:rsid w:val="00097322"/>
    <w:rsid w:val="000A6A92"/>
    <w:rsid w:val="000B047F"/>
    <w:rsid w:val="000B54F5"/>
    <w:rsid w:val="000B5923"/>
    <w:rsid w:val="000B5A48"/>
    <w:rsid w:val="000B6FF3"/>
    <w:rsid w:val="000C3467"/>
    <w:rsid w:val="000C3CA6"/>
    <w:rsid w:val="000D1267"/>
    <w:rsid w:val="000D1D50"/>
    <w:rsid w:val="000D5782"/>
    <w:rsid w:val="000E6613"/>
    <w:rsid w:val="000E7119"/>
    <w:rsid w:val="000F125A"/>
    <w:rsid w:val="00100059"/>
    <w:rsid w:val="001072A4"/>
    <w:rsid w:val="00114E9B"/>
    <w:rsid w:val="00131CE1"/>
    <w:rsid w:val="00132F29"/>
    <w:rsid w:val="00142216"/>
    <w:rsid w:val="00144D6A"/>
    <w:rsid w:val="0014729F"/>
    <w:rsid w:val="00157BAB"/>
    <w:rsid w:val="001654D1"/>
    <w:rsid w:val="001661DD"/>
    <w:rsid w:val="00166441"/>
    <w:rsid w:val="00174518"/>
    <w:rsid w:val="0018106D"/>
    <w:rsid w:val="001847AB"/>
    <w:rsid w:val="001877A7"/>
    <w:rsid w:val="00191536"/>
    <w:rsid w:val="00196687"/>
    <w:rsid w:val="001B7F5F"/>
    <w:rsid w:val="001C0962"/>
    <w:rsid w:val="001D7531"/>
    <w:rsid w:val="001E737D"/>
    <w:rsid w:val="001F0592"/>
    <w:rsid w:val="001F5A59"/>
    <w:rsid w:val="001F7506"/>
    <w:rsid w:val="002006CD"/>
    <w:rsid w:val="00202B36"/>
    <w:rsid w:val="00204B7A"/>
    <w:rsid w:val="00204CDE"/>
    <w:rsid w:val="0021101A"/>
    <w:rsid w:val="00220536"/>
    <w:rsid w:val="00222D62"/>
    <w:rsid w:val="00235629"/>
    <w:rsid w:val="00260C38"/>
    <w:rsid w:val="002616C0"/>
    <w:rsid w:val="00265372"/>
    <w:rsid w:val="002662AA"/>
    <w:rsid w:val="00270612"/>
    <w:rsid w:val="00280496"/>
    <w:rsid w:val="00294DC9"/>
    <w:rsid w:val="00295495"/>
    <w:rsid w:val="002A31DE"/>
    <w:rsid w:val="002B21B9"/>
    <w:rsid w:val="002B2613"/>
    <w:rsid w:val="002C26AB"/>
    <w:rsid w:val="002C6199"/>
    <w:rsid w:val="002C654D"/>
    <w:rsid w:val="002D19B0"/>
    <w:rsid w:val="002D6D05"/>
    <w:rsid w:val="002F1818"/>
    <w:rsid w:val="002F38DF"/>
    <w:rsid w:val="002F567B"/>
    <w:rsid w:val="002F6E58"/>
    <w:rsid w:val="003063BF"/>
    <w:rsid w:val="003216A9"/>
    <w:rsid w:val="00335A74"/>
    <w:rsid w:val="00343259"/>
    <w:rsid w:val="0036561B"/>
    <w:rsid w:val="0037013F"/>
    <w:rsid w:val="00380C92"/>
    <w:rsid w:val="00392D67"/>
    <w:rsid w:val="003A116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27382"/>
    <w:rsid w:val="00430F85"/>
    <w:rsid w:val="00434489"/>
    <w:rsid w:val="00437085"/>
    <w:rsid w:val="00443880"/>
    <w:rsid w:val="004463A6"/>
    <w:rsid w:val="004464F4"/>
    <w:rsid w:val="00450CDF"/>
    <w:rsid w:val="004643E7"/>
    <w:rsid w:val="00471401"/>
    <w:rsid w:val="00473F31"/>
    <w:rsid w:val="0048263A"/>
    <w:rsid w:val="00487E5D"/>
    <w:rsid w:val="00495014"/>
    <w:rsid w:val="004A371E"/>
    <w:rsid w:val="004A711F"/>
    <w:rsid w:val="004B199D"/>
    <w:rsid w:val="004B4690"/>
    <w:rsid w:val="004B701F"/>
    <w:rsid w:val="004C2817"/>
    <w:rsid w:val="004D6797"/>
    <w:rsid w:val="004E0A2D"/>
    <w:rsid w:val="004E206B"/>
    <w:rsid w:val="004E6DF7"/>
    <w:rsid w:val="004F0FBD"/>
    <w:rsid w:val="004F403E"/>
    <w:rsid w:val="004F643D"/>
    <w:rsid w:val="00505A47"/>
    <w:rsid w:val="00512FDA"/>
    <w:rsid w:val="00520DA0"/>
    <w:rsid w:val="00530555"/>
    <w:rsid w:val="00547B2C"/>
    <w:rsid w:val="005664BB"/>
    <w:rsid w:val="00566FFA"/>
    <w:rsid w:val="0057481D"/>
    <w:rsid w:val="00574E71"/>
    <w:rsid w:val="00575F0B"/>
    <w:rsid w:val="0058486E"/>
    <w:rsid w:val="00585B33"/>
    <w:rsid w:val="0059014D"/>
    <w:rsid w:val="005A23EB"/>
    <w:rsid w:val="005A488E"/>
    <w:rsid w:val="005B5C64"/>
    <w:rsid w:val="005C62B5"/>
    <w:rsid w:val="005C6BD0"/>
    <w:rsid w:val="005C6C4C"/>
    <w:rsid w:val="005D1C8B"/>
    <w:rsid w:val="005D2E48"/>
    <w:rsid w:val="005D468D"/>
    <w:rsid w:val="005D5CED"/>
    <w:rsid w:val="005E0F5A"/>
    <w:rsid w:val="005F1A4C"/>
    <w:rsid w:val="005F28FC"/>
    <w:rsid w:val="00605688"/>
    <w:rsid w:val="006070AF"/>
    <w:rsid w:val="00607E6C"/>
    <w:rsid w:val="006101B1"/>
    <w:rsid w:val="0061364E"/>
    <w:rsid w:val="00614E44"/>
    <w:rsid w:val="00614FE1"/>
    <w:rsid w:val="0062270A"/>
    <w:rsid w:val="00622830"/>
    <w:rsid w:val="00623DA0"/>
    <w:rsid w:val="00630AEF"/>
    <w:rsid w:val="006325F8"/>
    <w:rsid w:val="0063278C"/>
    <w:rsid w:val="00632F16"/>
    <w:rsid w:val="00633463"/>
    <w:rsid w:val="00634C9A"/>
    <w:rsid w:val="006440E4"/>
    <w:rsid w:val="006548E4"/>
    <w:rsid w:val="0066343B"/>
    <w:rsid w:val="00664777"/>
    <w:rsid w:val="00665529"/>
    <w:rsid w:val="006748A4"/>
    <w:rsid w:val="00681A31"/>
    <w:rsid w:val="00683E73"/>
    <w:rsid w:val="006856B5"/>
    <w:rsid w:val="006A3141"/>
    <w:rsid w:val="006A5E34"/>
    <w:rsid w:val="006B2422"/>
    <w:rsid w:val="006B2B9A"/>
    <w:rsid w:val="006C1937"/>
    <w:rsid w:val="006F020C"/>
    <w:rsid w:val="007127B7"/>
    <w:rsid w:val="0071798E"/>
    <w:rsid w:val="00727533"/>
    <w:rsid w:val="00733A91"/>
    <w:rsid w:val="007416B6"/>
    <w:rsid w:val="00746F48"/>
    <w:rsid w:val="0075404D"/>
    <w:rsid w:val="0076182A"/>
    <w:rsid w:val="00767B7E"/>
    <w:rsid w:val="007770C3"/>
    <w:rsid w:val="00784D24"/>
    <w:rsid w:val="00785FBA"/>
    <w:rsid w:val="00786E4A"/>
    <w:rsid w:val="007875EB"/>
    <w:rsid w:val="007900BE"/>
    <w:rsid w:val="0079426B"/>
    <w:rsid w:val="00796F69"/>
    <w:rsid w:val="007B7E68"/>
    <w:rsid w:val="007D1682"/>
    <w:rsid w:val="007D312A"/>
    <w:rsid w:val="007D3F19"/>
    <w:rsid w:val="007D569F"/>
    <w:rsid w:val="007E23B0"/>
    <w:rsid w:val="007F07B8"/>
    <w:rsid w:val="007F1991"/>
    <w:rsid w:val="007F2C2F"/>
    <w:rsid w:val="007F55FC"/>
    <w:rsid w:val="007F5665"/>
    <w:rsid w:val="007F5CD8"/>
    <w:rsid w:val="00800112"/>
    <w:rsid w:val="00813348"/>
    <w:rsid w:val="0082425F"/>
    <w:rsid w:val="008253BB"/>
    <w:rsid w:val="00826C7B"/>
    <w:rsid w:val="00833962"/>
    <w:rsid w:val="0083706E"/>
    <w:rsid w:val="008408F6"/>
    <w:rsid w:val="008423A5"/>
    <w:rsid w:val="00850625"/>
    <w:rsid w:val="00853718"/>
    <w:rsid w:val="00855221"/>
    <w:rsid w:val="00860645"/>
    <w:rsid w:val="00862F0B"/>
    <w:rsid w:val="00871F71"/>
    <w:rsid w:val="00872FD8"/>
    <w:rsid w:val="00885AF4"/>
    <w:rsid w:val="008939CD"/>
    <w:rsid w:val="008B768C"/>
    <w:rsid w:val="008C169B"/>
    <w:rsid w:val="008C3C07"/>
    <w:rsid w:val="008C4DB1"/>
    <w:rsid w:val="008C4EAF"/>
    <w:rsid w:val="008C5176"/>
    <w:rsid w:val="008C7FD0"/>
    <w:rsid w:val="008D0E7C"/>
    <w:rsid w:val="008E1DE7"/>
    <w:rsid w:val="008E707C"/>
    <w:rsid w:val="008E75F4"/>
    <w:rsid w:val="00900B08"/>
    <w:rsid w:val="00902155"/>
    <w:rsid w:val="00902FA3"/>
    <w:rsid w:val="00923564"/>
    <w:rsid w:val="0092392E"/>
    <w:rsid w:val="009315F9"/>
    <w:rsid w:val="00933499"/>
    <w:rsid w:val="00935C98"/>
    <w:rsid w:val="00945E6A"/>
    <w:rsid w:val="00946945"/>
    <w:rsid w:val="00951248"/>
    <w:rsid w:val="0095152F"/>
    <w:rsid w:val="00951957"/>
    <w:rsid w:val="00954C49"/>
    <w:rsid w:val="00955E37"/>
    <w:rsid w:val="00961372"/>
    <w:rsid w:val="0097099F"/>
    <w:rsid w:val="00971997"/>
    <w:rsid w:val="00971FFC"/>
    <w:rsid w:val="0098660A"/>
    <w:rsid w:val="009931C3"/>
    <w:rsid w:val="009B2C43"/>
    <w:rsid w:val="009B4EAE"/>
    <w:rsid w:val="009B7573"/>
    <w:rsid w:val="009C11F1"/>
    <w:rsid w:val="009C22F4"/>
    <w:rsid w:val="009C2D81"/>
    <w:rsid w:val="009C2E98"/>
    <w:rsid w:val="009C37FB"/>
    <w:rsid w:val="009C6523"/>
    <w:rsid w:val="009D3447"/>
    <w:rsid w:val="009D4711"/>
    <w:rsid w:val="009E0C2D"/>
    <w:rsid w:val="009F1185"/>
    <w:rsid w:val="009F155A"/>
    <w:rsid w:val="009F18CD"/>
    <w:rsid w:val="009F2A13"/>
    <w:rsid w:val="009F3A56"/>
    <w:rsid w:val="009F7527"/>
    <w:rsid w:val="00A03140"/>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04DD"/>
    <w:rsid w:val="00A605D6"/>
    <w:rsid w:val="00A67AB5"/>
    <w:rsid w:val="00A733B2"/>
    <w:rsid w:val="00A741C2"/>
    <w:rsid w:val="00A8758A"/>
    <w:rsid w:val="00A91760"/>
    <w:rsid w:val="00A93B00"/>
    <w:rsid w:val="00A93C21"/>
    <w:rsid w:val="00AA7631"/>
    <w:rsid w:val="00AB64C9"/>
    <w:rsid w:val="00AC22A1"/>
    <w:rsid w:val="00AC3C6A"/>
    <w:rsid w:val="00AD0F83"/>
    <w:rsid w:val="00AD5620"/>
    <w:rsid w:val="00AD656B"/>
    <w:rsid w:val="00AD7C1B"/>
    <w:rsid w:val="00AE16BA"/>
    <w:rsid w:val="00AE1EBE"/>
    <w:rsid w:val="00B03C9D"/>
    <w:rsid w:val="00B060AE"/>
    <w:rsid w:val="00B10517"/>
    <w:rsid w:val="00B14E76"/>
    <w:rsid w:val="00B15E04"/>
    <w:rsid w:val="00B161B8"/>
    <w:rsid w:val="00B2048C"/>
    <w:rsid w:val="00B310B9"/>
    <w:rsid w:val="00B35F3F"/>
    <w:rsid w:val="00B36CBB"/>
    <w:rsid w:val="00B425E0"/>
    <w:rsid w:val="00B440AA"/>
    <w:rsid w:val="00B441CC"/>
    <w:rsid w:val="00B44B70"/>
    <w:rsid w:val="00B53C56"/>
    <w:rsid w:val="00B5598A"/>
    <w:rsid w:val="00B57DAF"/>
    <w:rsid w:val="00B77EA6"/>
    <w:rsid w:val="00B81598"/>
    <w:rsid w:val="00B841F1"/>
    <w:rsid w:val="00B91604"/>
    <w:rsid w:val="00B944D6"/>
    <w:rsid w:val="00BB0A1E"/>
    <w:rsid w:val="00BB4DF0"/>
    <w:rsid w:val="00BC289F"/>
    <w:rsid w:val="00BC2D50"/>
    <w:rsid w:val="00BC5361"/>
    <w:rsid w:val="00BC5460"/>
    <w:rsid w:val="00BC6B50"/>
    <w:rsid w:val="00BD0E25"/>
    <w:rsid w:val="00BF5BD6"/>
    <w:rsid w:val="00C03E31"/>
    <w:rsid w:val="00C30E69"/>
    <w:rsid w:val="00C33E72"/>
    <w:rsid w:val="00C34E46"/>
    <w:rsid w:val="00C354B2"/>
    <w:rsid w:val="00C35554"/>
    <w:rsid w:val="00C42709"/>
    <w:rsid w:val="00C533CC"/>
    <w:rsid w:val="00C5751C"/>
    <w:rsid w:val="00C61BFC"/>
    <w:rsid w:val="00C62B85"/>
    <w:rsid w:val="00C65438"/>
    <w:rsid w:val="00C735C9"/>
    <w:rsid w:val="00C91CBB"/>
    <w:rsid w:val="00C92B16"/>
    <w:rsid w:val="00C96281"/>
    <w:rsid w:val="00CA1C08"/>
    <w:rsid w:val="00CB4E70"/>
    <w:rsid w:val="00CC09B6"/>
    <w:rsid w:val="00CC0C1C"/>
    <w:rsid w:val="00CC666F"/>
    <w:rsid w:val="00CD1E3F"/>
    <w:rsid w:val="00CE44F6"/>
    <w:rsid w:val="00CE49DA"/>
    <w:rsid w:val="00CE5B66"/>
    <w:rsid w:val="00CE5E73"/>
    <w:rsid w:val="00CE7B61"/>
    <w:rsid w:val="00CF4EAA"/>
    <w:rsid w:val="00D00048"/>
    <w:rsid w:val="00D00095"/>
    <w:rsid w:val="00D114F0"/>
    <w:rsid w:val="00D13B89"/>
    <w:rsid w:val="00D20620"/>
    <w:rsid w:val="00D25221"/>
    <w:rsid w:val="00D254F7"/>
    <w:rsid w:val="00D26091"/>
    <w:rsid w:val="00D2685C"/>
    <w:rsid w:val="00D34E7C"/>
    <w:rsid w:val="00D35489"/>
    <w:rsid w:val="00D36AFE"/>
    <w:rsid w:val="00D51276"/>
    <w:rsid w:val="00D62170"/>
    <w:rsid w:val="00D7035F"/>
    <w:rsid w:val="00D75204"/>
    <w:rsid w:val="00D763BC"/>
    <w:rsid w:val="00D76F4D"/>
    <w:rsid w:val="00D87942"/>
    <w:rsid w:val="00D9038F"/>
    <w:rsid w:val="00D960A3"/>
    <w:rsid w:val="00DA634F"/>
    <w:rsid w:val="00DA65AC"/>
    <w:rsid w:val="00DB1913"/>
    <w:rsid w:val="00DC410D"/>
    <w:rsid w:val="00DC5A81"/>
    <w:rsid w:val="00DC68CA"/>
    <w:rsid w:val="00DC7CBA"/>
    <w:rsid w:val="00DD73B7"/>
    <w:rsid w:val="00DF28BC"/>
    <w:rsid w:val="00DF34B9"/>
    <w:rsid w:val="00DF4958"/>
    <w:rsid w:val="00E01053"/>
    <w:rsid w:val="00E05D0A"/>
    <w:rsid w:val="00E07ACF"/>
    <w:rsid w:val="00E331A1"/>
    <w:rsid w:val="00E33202"/>
    <w:rsid w:val="00E336A9"/>
    <w:rsid w:val="00E472B1"/>
    <w:rsid w:val="00E50624"/>
    <w:rsid w:val="00E568DF"/>
    <w:rsid w:val="00E57D3C"/>
    <w:rsid w:val="00E64269"/>
    <w:rsid w:val="00E66797"/>
    <w:rsid w:val="00E80131"/>
    <w:rsid w:val="00E82267"/>
    <w:rsid w:val="00E853CE"/>
    <w:rsid w:val="00E867B6"/>
    <w:rsid w:val="00E87F08"/>
    <w:rsid w:val="00E92C58"/>
    <w:rsid w:val="00EA010F"/>
    <w:rsid w:val="00EA36B0"/>
    <w:rsid w:val="00EA5CCE"/>
    <w:rsid w:val="00EA65D4"/>
    <w:rsid w:val="00EB5208"/>
    <w:rsid w:val="00ED1B63"/>
    <w:rsid w:val="00ED3C1F"/>
    <w:rsid w:val="00ED4085"/>
    <w:rsid w:val="00ED420E"/>
    <w:rsid w:val="00ED6FBE"/>
    <w:rsid w:val="00EE1560"/>
    <w:rsid w:val="00EE2F57"/>
    <w:rsid w:val="00EF4C34"/>
    <w:rsid w:val="00EF6A7C"/>
    <w:rsid w:val="00EF74E2"/>
    <w:rsid w:val="00EF77C6"/>
    <w:rsid w:val="00F00EAA"/>
    <w:rsid w:val="00F05438"/>
    <w:rsid w:val="00F1361C"/>
    <w:rsid w:val="00F156F0"/>
    <w:rsid w:val="00F160C7"/>
    <w:rsid w:val="00F2408F"/>
    <w:rsid w:val="00F240E9"/>
    <w:rsid w:val="00F36D8F"/>
    <w:rsid w:val="00F40C7C"/>
    <w:rsid w:val="00F417B1"/>
    <w:rsid w:val="00F4266D"/>
    <w:rsid w:val="00F43EB1"/>
    <w:rsid w:val="00F45853"/>
    <w:rsid w:val="00F511A2"/>
    <w:rsid w:val="00F602DF"/>
    <w:rsid w:val="00F667AE"/>
    <w:rsid w:val="00F67B6B"/>
    <w:rsid w:val="00F74AEB"/>
    <w:rsid w:val="00F754A1"/>
    <w:rsid w:val="00F76666"/>
    <w:rsid w:val="00F81FD9"/>
    <w:rsid w:val="00F841AA"/>
    <w:rsid w:val="00F84A94"/>
    <w:rsid w:val="00F87E96"/>
    <w:rsid w:val="00FA23E8"/>
    <w:rsid w:val="00FC2582"/>
    <w:rsid w:val="00FC6DDB"/>
    <w:rsid w:val="00FD3CC1"/>
    <w:rsid w:val="00FF1E02"/>
    <w:rsid w:val="00FF30B4"/>
    <w:rsid w:val="10C055FF"/>
    <w:rsid w:val="14FF7D2F"/>
    <w:rsid w:val="16BB723D"/>
    <w:rsid w:val="16C4736E"/>
    <w:rsid w:val="16FF5514"/>
    <w:rsid w:val="233F2828"/>
    <w:rsid w:val="240371BF"/>
    <w:rsid w:val="25E00005"/>
    <w:rsid w:val="298951B2"/>
    <w:rsid w:val="29FD04D3"/>
    <w:rsid w:val="2A25404D"/>
    <w:rsid w:val="2EAB043D"/>
    <w:rsid w:val="319F7F4E"/>
    <w:rsid w:val="34CB00EE"/>
    <w:rsid w:val="3FD26606"/>
    <w:rsid w:val="40F23B30"/>
    <w:rsid w:val="427D1D4A"/>
    <w:rsid w:val="43EF69AF"/>
    <w:rsid w:val="45087897"/>
    <w:rsid w:val="4ECE2238"/>
    <w:rsid w:val="5B67095B"/>
    <w:rsid w:val="5F465DE5"/>
    <w:rsid w:val="60306F9D"/>
    <w:rsid w:val="61092200"/>
    <w:rsid w:val="6BD61701"/>
    <w:rsid w:val="6E6A68F3"/>
    <w:rsid w:val="70B626D2"/>
    <w:rsid w:val="72734D90"/>
    <w:rsid w:val="7A1D6F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38D70-4D80-42BB-B693-65FAC549813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10665</Words>
  <Characters>1137</Characters>
  <Lines>9</Lines>
  <Paragraphs>23</Paragraphs>
  <TotalTime>5</TotalTime>
  <ScaleCrop>false</ScaleCrop>
  <LinksUpToDate>false</LinksUpToDate>
  <CharactersWithSpaces>11779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告别/:)永恒</cp:lastModifiedBy>
  <cp:lastPrinted>2020-09-30T08:56:00Z</cp:lastPrinted>
  <dcterms:modified xsi:type="dcterms:W3CDTF">2020-09-30T09:40:53Z</dcterms:modified>
  <dc:title>四川省***</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